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ailOriginal"/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0C489598" w:rsidR="00AD4C46" w:rsidRPr="000478F6" w:rsidRDefault="00214D42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January</w:t>
                            </w:r>
                            <w:r w:rsidR="00921DB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0C489598" w:rsidR="00AD4C46" w:rsidRPr="000478F6" w:rsidRDefault="00214D42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January</w:t>
                      </w:r>
                      <w:r w:rsidR="00921DB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086B75" w:rsidP="00AD4C46">
                            <w:pPr>
                              <w:pStyle w:val="ContactInfoUpperLeft"/>
                            </w:pPr>
                            <w:hyperlink r:id="rId8" w:history="1">
                              <w:r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086B75" w:rsidP="00AD4C46">
                      <w:pPr>
                        <w:pStyle w:val="ContactInfoUpperLeft"/>
                      </w:pPr>
                      <w:hyperlink r:id="rId9" w:history="1">
                        <w:r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24DE3ED6" w14:textId="769F5A10" w:rsidR="00775F51" w:rsidRDefault="00EE6F6F" w:rsidP="00AD4C46">
      <w:pPr>
        <w:pStyle w:val="Heading1"/>
      </w:pPr>
      <w:r>
        <w:t xml:space="preserve">2024 </w:t>
      </w:r>
      <w:r w:rsidR="00775F51">
        <w:t xml:space="preserve">Home Sales </w:t>
      </w:r>
      <w:r w:rsidR="00254EA2">
        <w:t xml:space="preserve">Up </w:t>
      </w:r>
      <w:r w:rsidR="005D6400">
        <w:t>2</w:t>
      </w:r>
      <w:r w:rsidR="00365D98">
        <w:t>.</w:t>
      </w:r>
      <w:r w:rsidR="005D6400">
        <w:t>8</w:t>
      </w:r>
      <w:r w:rsidR="00775F51">
        <w:t>%</w:t>
      </w:r>
    </w:p>
    <w:p w14:paraId="4EFD022F" w14:textId="42DC6570" w:rsidR="00127EF0" w:rsidRPr="00AD4C46" w:rsidRDefault="00EE6F6F" w:rsidP="00AD4C46">
      <w:pPr>
        <w:pStyle w:val="Heading1"/>
      </w:pPr>
      <w:r>
        <w:t>Dec</w:t>
      </w:r>
      <w:r w:rsidR="00043760">
        <w:t>ember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5D6400">
        <w:t>Up</w:t>
      </w:r>
      <w:r w:rsidR="00365D98">
        <w:t xml:space="preserve"> </w:t>
      </w:r>
      <w:r w:rsidR="005D6400">
        <w:t>15</w:t>
      </w:r>
      <w:r w:rsidR="00C24714">
        <w:t>.</w:t>
      </w:r>
      <w:r w:rsidR="005D6400">
        <w:t>2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0"/>
        <w:gridCol w:w="1465"/>
      </w:tblGrid>
      <w:tr w:rsidR="00E913B2" w:rsidRPr="002F2B80" w14:paraId="24B40EB5" w14:textId="77777777" w:rsidTr="00E8190F">
        <w:trPr>
          <w:trHeight w:val="360"/>
        </w:trPr>
        <w:tc>
          <w:tcPr>
            <w:tcW w:w="8280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465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shd w:val="clear" w:color="auto" w:fill="auto"/>
            <w:vAlign w:val="center"/>
          </w:tcPr>
          <w:p w14:paraId="2AA4FD63" w14:textId="3B872337" w:rsidR="00E302C4" w:rsidRPr="002F2B80" w:rsidRDefault="00C547F1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 </w:t>
            </w:r>
            <w:r w:rsidR="00254F9F">
              <w:rPr>
                <w:sz w:val="24"/>
                <w:szCs w:val="24"/>
              </w:rPr>
              <w:t xml:space="preserve">Through </w:t>
            </w:r>
            <w:r w:rsidR="005D6400">
              <w:rPr>
                <w:sz w:val="24"/>
                <w:szCs w:val="24"/>
              </w:rPr>
              <w:t xml:space="preserve">End of Year Up, But </w:t>
            </w:r>
            <w:r w:rsidR="00E7590D">
              <w:rPr>
                <w:sz w:val="24"/>
                <w:szCs w:val="24"/>
              </w:rPr>
              <w:t>Lackluster Overall</w:t>
            </w:r>
          </w:p>
        </w:tc>
      </w:tr>
      <w:tr w:rsidR="00E302C4" w:rsidRPr="002F2B80" w14:paraId="786D284B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shd w:val="clear" w:color="auto" w:fill="auto"/>
            <w:vAlign w:val="center"/>
          </w:tcPr>
          <w:p w14:paraId="1B827FCA" w14:textId="2857D16C" w:rsidR="00E302C4" w:rsidRPr="007B1281" w:rsidRDefault="00E8190F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Needs Thousands of New Units Despite Increased Listings</w:t>
            </w:r>
          </w:p>
        </w:tc>
      </w:tr>
      <w:tr w:rsidR="00E302C4" w:rsidRPr="002F2B80" w14:paraId="07DD8276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shd w:val="clear" w:color="auto" w:fill="auto"/>
            <w:vAlign w:val="center"/>
          </w:tcPr>
          <w:p w14:paraId="0EAFC321" w14:textId="72F3CE84" w:rsidR="00E302C4" w:rsidRPr="002F2B80" w:rsidRDefault="005D6400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Metro </w:t>
            </w:r>
            <w:r w:rsidR="00254EA2" w:rsidRPr="008C345B">
              <w:rPr>
                <w:sz w:val="24"/>
                <w:szCs w:val="24"/>
              </w:rPr>
              <w:t xml:space="preserve">Prices Up </w:t>
            </w:r>
            <w:r w:rsidR="008C345B" w:rsidRPr="008C345B">
              <w:rPr>
                <w:sz w:val="24"/>
                <w:szCs w:val="24"/>
              </w:rPr>
              <w:t>6</w:t>
            </w:r>
            <w:r w:rsidR="00254EA2" w:rsidRPr="008C34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254EA2" w:rsidRPr="008C345B">
              <w:rPr>
                <w:sz w:val="24"/>
                <w:szCs w:val="24"/>
              </w:rPr>
              <w:t>%</w:t>
            </w:r>
            <w:r w:rsidR="00F402BD" w:rsidRPr="008C345B">
              <w:rPr>
                <w:sz w:val="24"/>
                <w:szCs w:val="24"/>
              </w:rPr>
              <w:t>, Averaging $44</w:t>
            </w:r>
            <w:r>
              <w:rPr>
                <w:sz w:val="24"/>
                <w:szCs w:val="24"/>
              </w:rPr>
              <w:t>3</w:t>
            </w:r>
            <w:r w:rsidR="00F402BD" w:rsidRPr="008C34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605</w:t>
            </w:r>
            <w:r w:rsidR="00F402BD">
              <w:rPr>
                <w:sz w:val="24"/>
                <w:szCs w:val="24"/>
              </w:rPr>
              <w:t xml:space="preserve">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42CD70CC" w:rsidR="00B170CC" w:rsidRPr="00627017" w:rsidRDefault="00EE6F6F" w:rsidP="00B65888">
            <w:pPr>
              <w:spacing w:line="252" w:lineRule="auto"/>
              <w:ind w:left="-105" w:right="-1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E6F6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sz w:val="24"/>
                <w:szCs w:val="24"/>
              </w:rPr>
              <w:t>Quarter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  <w:r w:rsidR="00D204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(Jan 1 –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Dec</w:t>
            </w:r>
            <w:r w:rsidR="00D2044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B170CC" w:rsidRPr="00627017" w14:paraId="5B14E64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4D49C566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41BEEAA4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7E15E0" w:rsidRPr="00627017" w14:paraId="20306320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5C313458" w:rsidR="007E15E0" w:rsidRPr="00627017" w:rsidRDefault="007E15E0" w:rsidP="007E15E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9CC">
              <w:t xml:space="preserve"> 9,534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5483DE48" w:rsidR="007E15E0" w:rsidRPr="00627017" w:rsidRDefault="007E15E0" w:rsidP="007E15E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9CC">
              <w:t xml:space="preserve"> 9,673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4F983438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9CC">
              <w:t>1.5%</w:t>
            </w:r>
          </w:p>
        </w:tc>
      </w:tr>
      <w:tr w:rsidR="007E15E0" w:rsidRPr="00627017" w14:paraId="476C4D87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42BEACEB" w:rsidR="007E15E0" w:rsidRPr="00627017" w:rsidRDefault="007E15E0" w:rsidP="007E15E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9CC">
              <w:t xml:space="preserve"> 4,539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1DBF6DEE" w:rsidR="007E15E0" w:rsidRPr="00627017" w:rsidRDefault="007E15E0" w:rsidP="007E15E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9CC">
              <w:t xml:space="preserve"> 4,680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2F1BFB68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9CC">
              <w:t>3.1%</w:t>
            </w:r>
          </w:p>
        </w:tc>
      </w:tr>
      <w:tr w:rsidR="007E15E0" w:rsidRPr="00627017" w14:paraId="7C64D00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169ED26C" w:rsidR="007E15E0" w:rsidRPr="00627017" w:rsidRDefault="007E15E0" w:rsidP="007E15E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9CC">
              <w:t xml:space="preserve"> 1,416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6EB8A1C1" w:rsidR="007E15E0" w:rsidRPr="00627017" w:rsidRDefault="007E15E0" w:rsidP="007E15E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9CC">
              <w:t xml:space="preserve"> 1,581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0CD37556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9CC">
              <w:t>11.7%</w:t>
            </w:r>
          </w:p>
        </w:tc>
      </w:tr>
      <w:tr w:rsidR="007E15E0" w:rsidRPr="00627017" w14:paraId="73B88858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3890317E" w:rsidR="007E15E0" w:rsidRPr="00627017" w:rsidRDefault="007E15E0" w:rsidP="007E15E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9CC">
              <w:t xml:space="preserve"> 1,097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175AE603" w:rsidR="007E15E0" w:rsidRPr="00627017" w:rsidRDefault="007E15E0" w:rsidP="007E15E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9CC">
              <w:t xml:space="preserve"> 1,124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70FBB65A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9CC">
              <w:t>2.5%</w:t>
            </w:r>
          </w:p>
        </w:tc>
      </w:tr>
      <w:tr w:rsidR="007E15E0" w:rsidRPr="00627017" w14:paraId="29367927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74F29ECA" w:rsidR="007E15E0" w:rsidRPr="00627017" w:rsidRDefault="007E15E0" w:rsidP="007E15E0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DD39CC">
              <w:t xml:space="preserve">16,586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1AC2A37F" w:rsidR="007E15E0" w:rsidRPr="00627017" w:rsidRDefault="007E15E0" w:rsidP="007E15E0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DD39CC">
              <w:t xml:space="preserve">17,058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77363094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9CC">
              <w:t>2.8%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15E0" w:rsidRPr="00627017" w14:paraId="4DB026E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692B79B5" w:rsidR="007E15E0" w:rsidRPr="00627017" w:rsidRDefault="007E15E0" w:rsidP="007E15E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19">
              <w:t xml:space="preserve"> 2,287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5C6BF3FD" w:rsidR="007E15E0" w:rsidRPr="00627017" w:rsidRDefault="007E15E0" w:rsidP="007E15E0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19">
              <w:t xml:space="preserve"> 2,340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1969CEBF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19">
              <w:t>2.3%</w:t>
            </w:r>
          </w:p>
        </w:tc>
      </w:tr>
      <w:tr w:rsidR="007E15E0" w:rsidRPr="00627017" w14:paraId="509D9972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619ED443" w:rsidR="007E15E0" w:rsidRPr="00627017" w:rsidRDefault="007E15E0" w:rsidP="007E15E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19">
              <w:t xml:space="preserve"> 1,690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6E6927E1" w:rsidR="007E15E0" w:rsidRPr="00627017" w:rsidRDefault="007E15E0" w:rsidP="007E15E0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19">
              <w:t xml:space="preserve"> 1,733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51A337DB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19">
              <w:t>2.5%</w:t>
            </w:r>
          </w:p>
        </w:tc>
      </w:tr>
      <w:tr w:rsidR="007E15E0" w:rsidRPr="00627017" w14:paraId="42ECBD06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62ED9333" w:rsidR="007E15E0" w:rsidRPr="00627017" w:rsidRDefault="007E15E0" w:rsidP="007E15E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19">
              <w:t xml:space="preserve"> 1,336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3F49AB0A" w:rsidR="007E15E0" w:rsidRPr="00627017" w:rsidRDefault="007E15E0" w:rsidP="007E15E0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19">
              <w:t xml:space="preserve"> 1,394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39680E37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19">
              <w:t>4.3%</w:t>
            </w:r>
          </w:p>
        </w:tc>
      </w:tr>
      <w:tr w:rsidR="007E15E0" w:rsidRPr="00627017" w14:paraId="122A5C4D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292AFCC5" w:rsidR="007E15E0" w:rsidRPr="00627017" w:rsidRDefault="007E15E0" w:rsidP="007E15E0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422A19">
              <w:t xml:space="preserve">21,899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34BC1EF9" w:rsidR="007E15E0" w:rsidRPr="00627017" w:rsidRDefault="007E15E0" w:rsidP="007E15E0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19">
              <w:t xml:space="preserve"> 22,525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16E34DC3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A19">
              <w:t>2.9%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6E7E8CFA" w:rsidR="00F264CF" w:rsidRPr="00627017" w:rsidRDefault="00EE6F6F" w:rsidP="00E749C3">
            <w:pPr>
              <w:spacing w:line="252" w:lineRule="auto"/>
              <w:ind w:left="-105" w:right="-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</w:t>
            </w:r>
            <w:r w:rsidR="00043760">
              <w:rPr>
                <w:rFonts w:ascii="Arial" w:hAnsi="Arial" w:cs="Arial"/>
                <w:b/>
                <w:bCs/>
                <w:sz w:val="24"/>
                <w:szCs w:val="24"/>
              </w:rPr>
              <w:t>ember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bCs/>
                <w:sz w:val="24"/>
                <w:szCs w:val="24"/>
              </w:rPr>
              <w:t>Sale</w:t>
            </w:r>
            <w:r w:rsidR="0004376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513B1A" w:rsidRPr="00627017" w14:paraId="41B9A98A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215DAF4A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53A94371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214D42" w:rsidRPr="00627017" w14:paraId="1AA23907" w14:textId="77777777" w:rsidTr="00BD05F0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4040B2DA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675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3FEA452F" w:rsidR="00214D42" w:rsidRPr="00627017" w:rsidRDefault="00214D42" w:rsidP="00214D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761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0428A36D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12.7%</w:t>
            </w:r>
          </w:p>
        </w:tc>
      </w:tr>
      <w:tr w:rsidR="00214D42" w:rsidRPr="00627017" w14:paraId="57BCDE1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23E37994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298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0BABFC74" w:rsidR="00214D42" w:rsidRPr="00627017" w:rsidRDefault="00214D42" w:rsidP="00214D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351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14E2E973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17.8%</w:t>
            </w:r>
          </w:p>
        </w:tc>
      </w:tr>
      <w:tr w:rsidR="00214D42" w:rsidRPr="00627017" w14:paraId="355A5DBE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2C9AF0E3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53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658B3ECE" w:rsidR="00214D42" w:rsidRPr="00627017" w:rsidRDefault="00214D42" w:rsidP="00214D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83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41AE764B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56.6%</w:t>
            </w:r>
          </w:p>
        </w:tc>
      </w:tr>
      <w:tr w:rsidR="00214D42" w:rsidRPr="00627017" w14:paraId="64E87CC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70501348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113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71F4C6F2" w:rsidR="00214D42" w:rsidRPr="00627017" w:rsidRDefault="00214D42" w:rsidP="00214D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117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33E86C08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3.5%</w:t>
            </w:r>
          </w:p>
        </w:tc>
      </w:tr>
      <w:tr w:rsidR="00214D42" w:rsidRPr="00627017" w14:paraId="45CEE296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6F565ACF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1,139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543EFA5A" w:rsidR="00214D42" w:rsidRPr="00627017" w:rsidRDefault="00214D42" w:rsidP="00214D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1,312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0A4F1558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C6D">
              <w:t>15.2%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14D42" w:rsidRPr="00627017" w14:paraId="68627583" w14:textId="77777777" w:rsidTr="00F130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02EF1722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0ED">
              <w:t>175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0E9EEE86" w:rsidR="00214D42" w:rsidRPr="00627017" w:rsidRDefault="00214D42" w:rsidP="00214D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0ED">
              <w:t>169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34BD46A1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0ED">
              <w:t>-3.4%</w:t>
            </w:r>
          </w:p>
        </w:tc>
      </w:tr>
      <w:tr w:rsidR="00214D42" w:rsidRPr="00627017" w14:paraId="43BFC7D0" w14:textId="77777777" w:rsidTr="00F130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51CEFFA2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0ED">
              <w:t>127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497DAB5A" w:rsidR="00214D42" w:rsidRPr="00627017" w:rsidRDefault="00214D42" w:rsidP="00214D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0ED">
              <w:t>137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6C441BBB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0ED">
              <w:t>7.9%</w:t>
            </w:r>
          </w:p>
        </w:tc>
      </w:tr>
      <w:tr w:rsidR="00214D42" w:rsidRPr="00627017" w14:paraId="74C7B9C3" w14:textId="77777777" w:rsidTr="00F1305F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7EA16D52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0ED">
              <w:t>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1FE62DD1" w:rsidR="00214D42" w:rsidRPr="00627017" w:rsidRDefault="00214D42" w:rsidP="00214D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0ED">
              <w:t>103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112F0291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0ED">
              <w:t>14.4%</w:t>
            </w:r>
          </w:p>
        </w:tc>
      </w:tr>
      <w:tr w:rsidR="00214D42" w:rsidRPr="00627017" w14:paraId="719D3710" w14:textId="77777777" w:rsidTr="00F1305F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449B82B5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0ED">
              <w:t>1,531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151C2417" w:rsidR="00214D42" w:rsidRPr="00627017" w:rsidRDefault="00214D42" w:rsidP="00214D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0ED">
              <w:t>1,721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0A96592B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0ED">
              <w:t>12.4%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1BC98FD0" w14:textId="3A43EDD2" w:rsidR="004204E0" w:rsidRDefault="0077154C" w:rsidP="00F84C72">
      <w:r w:rsidRPr="0077154C">
        <w:t xml:space="preserve">Home sales in the Metropolitan Milwaukee market </w:t>
      </w:r>
      <w:r w:rsidR="004204E0">
        <w:t xml:space="preserve">finished 2024 essentially flat from 2023. Although 2024 was 2.8% ahead of the prior year, that only amounted to 472 additional units. </w:t>
      </w:r>
    </w:p>
    <w:p w14:paraId="51259630" w14:textId="77777777" w:rsidR="004204E0" w:rsidRDefault="004204E0" w:rsidP="00F84C72"/>
    <w:p w14:paraId="322D87D4" w14:textId="4A5EBABD" w:rsidR="004204E0" w:rsidRDefault="004204E0" w:rsidP="00F84C72">
      <w:r>
        <w:t xml:space="preserve">Home sales over the last two years </w:t>
      </w:r>
      <w:r w:rsidR="00701269">
        <w:t xml:space="preserve">(16,586 and 17,058, respectively) </w:t>
      </w:r>
      <w:r>
        <w:t xml:space="preserve">have been well below the 20,000 unit threshold that is the floor for a normally functioning marketplace. </w:t>
      </w:r>
    </w:p>
    <w:p w14:paraId="5278284D" w14:textId="77777777" w:rsidR="004204E0" w:rsidRDefault="004204E0" w:rsidP="00F84C72"/>
    <w:p w14:paraId="492DEC81" w14:textId="3660E8B7" w:rsidR="004204E0" w:rsidRDefault="004204E0" w:rsidP="00F84C72">
      <w:r>
        <w:t xml:space="preserve">There </w:t>
      </w:r>
      <w:r w:rsidR="00E7590D">
        <w:t xml:space="preserve">may be </w:t>
      </w:r>
      <w:r>
        <w:t>some good news in the fact that December sales were up 15.2%</w:t>
      </w:r>
      <w:r w:rsidR="00E7590D">
        <w:t xml:space="preserve">, possibly indicating </w:t>
      </w:r>
      <w:r>
        <w:t xml:space="preserve">a more robust 2025 housing market. </w:t>
      </w:r>
    </w:p>
    <w:p w14:paraId="06847DE8" w14:textId="01D6F6FF" w:rsidR="00FC4D4B" w:rsidRDefault="004204E0" w:rsidP="00F84C72">
      <w:r>
        <w:t xml:space="preserve">  </w:t>
      </w:r>
    </w:p>
    <w:p w14:paraId="76AE5256" w14:textId="1E050A4B" w:rsidR="00534803" w:rsidRDefault="00701269" w:rsidP="00F84C72">
      <w:r>
        <w:t>Sales have been in a funk since m</w:t>
      </w:r>
      <w:r w:rsidR="001E101E">
        <w:t>id-2022</w:t>
      </w:r>
      <w:r>
        <w:t xml:space="preserve"> when</w:t>
      </w:r>
      <w:r w:rsidR="001E101E">
        <w:t xml:space="preserve"> interest rates increased from historical lows</w:t>
      </w:r>
      <w:r>
        <w:t xml:space="preserve"> to </w:t>
      </w:r>
      <w:r w:rsidR="001E101E">
        <w:t xml:space="preserve">about 6%. That </w:t>
      </w:r>
      <w:r>
        <w:t xml:space="preserve">increase in rates caused sellers to pull back from putting their house up for sale – because </w:t>
      </w:r>
      <w:r w:rsidR="00E7590D">
        <w:t xml:space="preserve">for many </w:t>
      </w:r>
      <w:r>
        <w:t>moving would entail taking a mortgage with a higher rate</w:t>
      </w:r>
      <w:r w:rsidR="00534803">
        <w:t xml:space="preserve">. </w:t>
      </w:r>
    </w:p>
    <w:p w14:paraId="5791E356" w14:textId="77777777" w:rsidR="00534803" w:rsidRDefault="00534803" w:rsidP="00F84C72"/>
    <w:p w14:paraId="3CEF8656" w14:textId="14F03EAC" w:rsidR="00701269" w:rsidRDefault="00534803" w:rsidP="00F84C72">
      <w:r>
        <w:t xml:space="preserve">With new construction down dramatically for years, there could not have been a worse time for would-be sellers to get out of the market. The double-whammy of insufficient construction and fewer listings </w:t>
      </w:r>
      <w:r w:rsidR="00E7590D">
        <w:t>resulted in</w:t>
      </w:r>
      <w:r w:rsidR="00701269">
        <w:t xml:space="preserve"> </w:t>
      </w:r>
      <w:r>
        <w:t xml:space="preserve">fewer sales than would normally occur and many </w:t>
      </w:r>
      <w:r w:rsidR="00701269">
        <w:t xml:space="preserve">frustrated </w:t>
      </w:r>
      <w:r w:rsidR="00E7590D">
        <w:t xml:space="preserve">would-be </w:t>
      </w:r>
      <w:r w:rsidR="00701269">
        <w:t xml:space="preserve">homebuyers. </w:t>
      </w:r>
    </w:p>
    <w:p w14:paraId="6F364220" w14:textId="77777777" w:rsidR="00701269" w:rsidRDefault="00701269" w:rsidP="00F84C72"/>
    <w:p w14:paraId="26B808C4" w14:textId="66A7D4DA" w:rsidR="0077154C" w:rsidRDefault="00BE4F46" w:rsidP="00F84C72">
      <w:r>
        <w:lastRenderedPageBreak/>
        <w:t>While l</w:t>
      </w:r>
      <w:r w:rsidR="00D46FAC">
        <w:t xml:space="preserve">istings in </w:t>
      </w:r>
      <w:r w:rsidR="00534803">
        <w:t>Dec</w:t>
      </w:r>
      <w:r w:rsidR="00D46FAC">
        <w:t xml:space="preserve">ember and </w:t>
      </w:r>
      <w:r w:rsidR="00E7590D">
        <w:t xml:space="preserve">all of </w:t>
      </w:r>
      <w:r w:rsidR="00534803">
        <w:t xml:space="preserve">2024 </w:t>
      </w:r>
      <w:r w:rsidR="00D46FAC">
        <w:t xml:space="preserve">were up, </w:t>
      </w:r>
      <w:r w:rsidR="00534803">
        <w:t>4</w:t>
      </w:r>
      <w:r w:rsidR="00D46FAC">
        <w:t>.</w:t>
      </w:r>
      <w:r w:rsidR="00534803">
        <w:t>2</w:t>
      </w:r>
      <w:r w:rsidR="00D46FAC">
        <w:t xml:space="preserve">% and </w:t>
      </w:r>
      <w:r w:rsidR="00534803">
        <w:t>4</w:t>
      </w:r>
      <w:r w:rsidR="00D46FAC">
        <w:t>.</w:t>
      </w:r>
      <w:r w:rsidR="00534803">
        <w:t>8</w:t>
      </w:r>
      <w:r w:rsidR="00D46FAC">
        <w:t>%, respectively</w:t>
      </w:r>
      <w:r w:rsidR="00E7590D">
        <w:t xml:space="preserve">, </w:t>
      </w:r>
      <w:r w:rsidR="006626BD">
        <w:t xml:space="preserve">the </w:t>
      </w:r>
      <w:r>
        <w:t>21,297</w:t>
      </w:r>
      <w:r w:rsidR="006626BD">
        <w:t xml:space="preserve"> units that </w:t>
      </w:r>
      <w:r>
        <w:t xml:space="preserve">were </w:t>
      </w:r>
      <w:r w:rsidR="006626BD">
        <w:t>listed in 202</w:t>
      </w:r>
      <w:r>
        <w:t>4</w:t>
      </w:r>
      <w:r w:rsidR="006626BD">
        <w:t xml:space="preserve"> are </w:t>
      </w:r>
      <w:r>
        <w:t>more than</w:t>
      </w:r>
      <w:r w:rsidR="006626BD">
        <w:t xml:space="preserve"> </w:t>
      </w:r>
      <w:r>
        <w:t>5</w:t>
      </w:r>
      <w:r w:rsidR="006626BD">
        <w:t>,000 unit</w:t>
      </w:r>
      <w:r w:rsidR="003E46BA">
        <w:t>s</w:t>
      </w:r>
      <w:r w:rsidR="006626BD">
        <w:t xml:space="preserve"> shy of what the market needs to reach equilibrium. </w:t>
      </w:r>
    </w:p>
    <w:p w14:paraId="7508B00C" w14:textId="77777777" w:rsidR="00662485" w:rsidRDefault="00662485" w:rsidP="00F84C72"/>
    <w:tbl>
      <w:tblPr>
        <w:tblpPr w:leftFromText="288" w:rightFromText="72" w:bottomFromText="115" w:vertAnchor="text" w:horzAnchor="margin" w:tblpXSpec="right" w:tblpY="-38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22"/>
        <w:gridCol w:w="993"/>
      </w:tblGrid>
      <w:tr w:rsidR="008C345B" w:rsidRPr="00627017" w14:paraId="0B53EF5B" w14:textId="77777777" w:rsidTr="008C345B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ABB65" w14:textId="32DD7C59" w:rsidR="008C345B" w:rsidRPr="00627017" w:rsidRDefault="00EE6F6F" w:rsidP="008C345B">
            <w:pPr>
              <w:spacing w:line="252" w:lineRule="auto"/>
              <w:ind w:left="-105" w:right="-9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EE6F6F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C34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Quarter </w:t>
            </w:r>
            <w:r w:rsidR="008C345B">
              <w:rPr>
                <w:rFonts w:ascii="Arial" w:hAnsi="Arial" w:cs="Arial"/>
                <w:b/>
                <w:sz w:val="24"/>
                <w:szCs w:val="24"/>
              </w:rPr>
              <w:t>Listings</w:t>
            </w:r>
            <w:r w:rsidR="008C345B"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(Jan 1 –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Dec</w:t>
            </w:r>
            <w:r w:rsidR="008C345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8C345B" w:rsidRPr="005C3BB5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  <w:r w:rsidR="008C345B"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8C345B" w:rsidRPr="00627017" w14:paraId="05D43625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2E122B7C" w14:textId="77777777" w:rsidR="008C345B" w:rsidRPr="00627017" w:rsidRDefault="008C345B" w:rsidP="008C345B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AFB15" w14:textId="77777777" w:rsidR="008C345B" w:rsidRPr="00627017" w:rsidRDefault="008C345B" w:rsidP="008C345B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F0F99" w14:textId="77777777" w:rsidR="008C345B" w:rsidRPr="00627017" w:rsidRDefault="008C345B" w:rsidP="008C345B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6AA6388C" w14:textId="77777777" w:rsidR="008C345B" w:rsidRPr="00627017" w:rsidRDefault="008C345B" w:rsidP="008C345B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7E15E0" w:rsidRPr="00627017" w14:paraId="0A9BB8EF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DD068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EAA4" w14:textId="585CB5E9" w:rsidR="007E15E0" w:rsidRPr="00627017" w:rsidRDefault="007E15E0" w:rsidP="007E15E0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1247EA">
              <w:t xml:space="preserve">12,032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CA6" w14:textId="77BB8BB3" w:rsidR="007E15E0" w:rsidRPr="00627017" w:rsidRDefault="007E15E0" w:rsidP="007E15E0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1247EA">
              <w:t xml:space="preserve">12,407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D254" w14:textId="6739AED5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7EA">
              <w:t>3.1%</w:t>
            </w:r>
          </w:p>
        </w:tc>
      </w:tr>
      <w:tr w:rsidR="007E15E0" w:rsidRPr="00627017" w14:paraId="71A55807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26931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3167" w14:textId="14FA1223" w:rsidR="007E15E0" w:rsidRPr="00627017" w:rsidRDefault="007E15E0" w:rsidP="007E15E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7EA">
              <w:t xml:space="preserve"> 5,292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0386" w14:textId="21E7A14D" w:rsidR="007E15E0" w:rsidRPr="00627017" w:rsidRDefault="007E15E0" w:rsidP="007E15E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7EA">
              <w:t xml:space="preserve"> 5,585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46213FA" w14:textId="4D07D030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7EA">
              <w:t>5.5%</w:t>
            </w:r>
          </w:p>
        </w:tc>
      </w:tr>
      <w:tr w:rsidR="007E15E0" w:rsidRPr="00627017" w14:paraId="4AD5F174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EE845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9646" w14:textId="5C7FAFC5" w:rsidR="007E15E0" w:rsidRPr="00627017" w:rsidRDefault="007E15E0" w:rsidP="007E15E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7EA">
              <w:t xml:space="preserve"> 1,726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FB54" w14:textId="3DA8DC6E" w:rsidR="007E15E0" w:rsidRPr="00627017" w:rsidRDefault="007E15E0" w:rsidP="007E15E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7EA">
              <w:t xml:space="preserve"> 2,011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CC81E" w14:textId="0721AAC5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7EA">
              <w:t>16.5%</w:t>
            </w:r>
          </w:p>
        </w:tc>
      </w:tr>
      <w:tr w:rsidR="007E15E0" w:rsidRPr="00627017" w14:paraId="19FE1F11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BEB8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4892" w14:textId="07C5E6EE" w:rsidR="007E15E0" w:rsidRPr="00627017" w:rsidRDefault="007E15E0" w:rsidP="007E15E0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7EA">
              <w:t xml:space="preserve"> 1,281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FDED" w14:textId="79EB1A68" w:rsidR="007E15E0" w:rsidRPr="00627017" w:rsidRDefault="007E15E0" w:rsidP="007E15E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7EA">
              <w:t xml:space="preserve"> 1,294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94B54B9" w14:textId="636DEC73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7EA">
              <w:t>1.0%</w:t>
            </w:r>
          </w:p>
        </w:tc>
      </w:tr>
      <w:tr w:rsidR="007E15E0" w:rsidRPr="00627017" w14:paraId="7F6A121A" w14:textId="77777777" w:rsidTr="008C345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B32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C398" w14:textId="70EB4CFB" w:rsidR="007E15E0" w:rsidRPr="00627017" w:rsidRDefault="007E15E0" w:rsidP="007E15E0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1247EA">
              <w:t xml:space="preserve">20,331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9488" w14:textId="0DF53C3D" w:rsidR="007E15E0" w:rsidRPr="00627017" w:rsidRDefault="007E15E0" w:rsidP="007E15E0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1247EA">
              <w:t xml:space="preserve">21,297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4F7FA" w14:textId="3FAFDA76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7EA">
              <w:t>4.8%</w:t>
            </w:r>
          </w:p>
        </w:tc>
      </w:tr>
      <w:tr w:rsidR="008C345B" w:rsidRPr="00627017" w14:paraId="36720C2A" w14:textId="77777777" w:rsidTr="008C345B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58F2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E15E0" w:rsidRPr="00627017" w14:paraId="240060A8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6F57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2C68" w14:textId="385ECBBA" w:rsidR="007E15E0" w:rsidRPr="00627017" w:rsidRDefault="007E15E0" w:rsidP="007E15E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41C">
              <w:t xml:space="preserve"> 2,760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1566A" w14:textId="371A6C49" w:rsidR="007E15E0" w:rsidRPr="00627017" w:rsidRDefault="007E15E0" w:rsidP="007E15E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41C">
              <w:t xml:space="preserve"> 2,870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D0908" w14:textId="5086F383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41C">
              <w:t>4.0%</w:t>
            </w:r>
          </w:p>
        </w:tc>
      </w:tr>
      <w:tr w:rsidR="007E15E0" w:rsidRPr="00627017" w14:paraId="43FFE936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E453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0F15" w14:textId="71CF78E3" w:rsidR="007E15E0" w:rsidRPr="00627017" w:rsidRDefault="007E15E0" w:rsidP="007E15E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41C">
              <w:t xml:space="preserve"> 2,018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ECB64AF" w14:textId="03D4AEF1" w:rsidR="007E15E0" w:rsidRPr="00627017" w:rsidRDefault="007E15E0" w:rsidP="007E15E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41C">
              <w:t xml:space="preserve"> 2,126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BE24F10" w14:textId="1544F212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41C">
              <w:t>5.4%</w:t>
            </w:r>
          </w:p>
        </w:tc>
      </w:tr>
      <w:tr w:rsidR="007E15E0" w:rsidRPr="00627017" w14:paraId="79AF4F65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92A2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3EC6" w14:textId="5F33EB08" w:rsidR="007E15E0" w:rsidRPr="00627017" w:rsidRDefault="007E15E0" w:rsidP="007E15E0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41C">
              <w:t xml:space="preserve"> 1,790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D4F750" w14:textId="6F7662BC" w:rsidR="007E15E0" w:rsidRPr="00627017" w:rsidRDefault="007E15E0" w:rsidP="007E15E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41C">
              <w:t xml:space="preserve"> 1,959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0998C" w14:textId="1D79D338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41C">
              <w:t>9.4%</w:t>
            </w:r>
          </w:p>
        </w:tc>
      </w:tr>
      <w:tr w:rsidR="007E15E0" w:rsidRPr="00627017" w14:paraId="6020D7C3" w14:textId="77777777" w:rsidTr="008C345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D717" w14:textId="77777777" w:rsidR="007E15E0" w:rsidRPr="00627017" w:rsidRDefault="007E15E0" w:rsidP="007E15E0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81DF" w14:textId="6FD8588C" w:rsidR="007E15E0" w:rsidRPr="00627017" w:rsidRDefault="007E15E0" w:rsidP="007E15E0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09741C">
              <w:t xml:space="preserve">26,899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E180CCC" w14:textId="72C38827" w:rsidR="007E15E0" w:rsidRPr="00627017" w:rsidRDefault="007E15E0" w:rsidP="007E15E0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41C">
              <w:t xml:space="preserve"> 28,252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BAFBE35" w14:textId="27CC9E0E" w:rsidR="007E15E0" w:rsidRPr="00627017" w:rsidRDefault="007E15E0" w:rsidP="007E15E0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741C">
              <w:t>5.0%</w:t>
            </w:r>
          </w:p>
        </w:tc>
      </w:tr>
      <w:tr w:rsidR="008C345B" w:rsidRPr="00627017" w14:paraId="595A40FC" w14:textId="77777777" w:rsidTr="008C345B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2BE1" w14:textId="77777777" w:rsidR="008C345B" w:rsidRPr="00627017" w:rsidRDefault="008C345B" w:rsidP="008C345B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345B" w:rsidRPr="00627017" w14:paraId="0C2A8B23" w14:textId="77777777" w:rsidTr="008C345B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F31D" w14:textId="5FB43A50" w:rsidR="008C345B" w:rsidRPr="00627017" w:rsidRDefault="008C345B" w:rsidP="008C345B">
            <w:pPr>
              <w:spacing w:line="252" w:lineRule="auto"/>
              <w:ind w:left="-105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E6F6F">
              <w:rPr>
                <w:rFonts w:ascii="Arial" w:hAnsi="Arial" w:cs="Arial"/>
                <w:b/>
                <w:bCs/>
                <w:sz w:val="24"/>
                <w:szCs w:val="24"/>
              </w:rPr>
              <w:t>Dec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ember Listings</w:t>
            </w:r>
          </w:p>
        </w:tc>
      </w:tr>
      <w:tr w:rsidR="008C345B" w:rsidRPr="00627017" w14:paraId="37BCC3B5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6AE5" w14:textId="77777777" w:rsidR="008C345B" w:rsidRPr="00627017" w:rsidRDefault="008C345B" w:rsidP="008C345B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C156" w14:textId="77777777" w:rsidR="008C345B" w:rsidRPr="00627017" w:rsidRDefault="008C345B" w:rsidP="008C345B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599ADA88" w14:textId="77777777" w:rsidR="008C345B" w:rsidRPr="00627017" w:rsidRDefault="008C345B" w:rsidP="008C345B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24BE6887" w14:textId="77777777" w:rsidR="008C345B" w:rsidRPr="00627017" w:rsidRDefault="008C345B" w:rsidP="008C345B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214D42" w:rsidRPr="00627017" w14:paraId="26CEB0AC" w14:textId="77777777" w:rsidTr="008C345B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C73A" w14:textId="77777777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D90F" w14:textId="678007E9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505</w:t>
            </w:r>
          </w:p>
        </w:tc>
        <w:tc>
          <w:tcPr>
            <w:tcW w:w="92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8AD7E2" w14:textId="16923F15" w:rsidR="00214D42" w:rsidRPr="00627017" w:rsidRDefault="00214D42" w:rsidP="00214D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524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888E53A" w14:textId="7B9032CA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3.8%</w:t>
            </w:r>
          </w:p>
        </w:tc>
      </w:tr>
      <w:tr w:rsidR="00214D42" w:rsidRPr="00627017" w14:paraId="1231D3D3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7EB7" w14:textId="77777777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1038" w14:textId="2BA2719B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189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958F0BC" w14:textId="4DCD86A1" w:rsidR="00214D42" w:rsidRPr="00627017" w:rsidRDefault="00214D42" w:rsidP="00214D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4184592" w14:textId="3F162587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-2.6%</w:t>
            </w:r>
          </w:p>
        </w:tc>
      </w:tr>
      <w:tr w:rsidR="00214D42" w:rsidRPr="00627017" w14:paraId="7574A463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FAB4" w14:textId="77777777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95F3" w14:textId="5A3873C8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A347E" w14:textId="298E5B36" w:rsidR="00214D42" w:rsidRPr="00627017" w:rsidRDefault="00214D42" w:rsidP="00214D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C7581" w14:textId="276F73FC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17.4%</w:t>
            </w:r>
          </w:p>
        </w:tc>
      </w:tr>
      <w:tr w:rsidR="00214D42" w:rsidRPr="00627017" w14:paraId="3ABDA7FA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5198" w14:textId="77777777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EFC9" w14:textId="0B3D9B41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69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1A14DB5F" w14:textId="38E25A03" w:rsidR="00214D42" w:rsidRPr="00627017" w:rsidRDefault="00214D42" w:rsidP="00214D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D308DD3" w14:textId="55E7B194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17.4%</w:t>
            </w:r>
          </w:p>
        </w:tc>
      </w:tr>
      <w:tr w:rsidR="00214D42" w:rsidRPr="00627017" w14:paraId="443A9D89" w14:textId="77777777" w:rsidTr="008C345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F0DF" w14:textId="77777777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66B1" w14:textId="3ADD4034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809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8A594F" w14:textId="514B335D" w:rsidR="00214D42" w:rsidRPr="00627017" w:rsidRDefault="00214D42" w:rsidP="00214D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843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110B3" w14:textId="55E5FF16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18C2">
              <w:t>4.2%</w:t>
            </w:r>
          </w:p>
        </w:tc>
      </w:tr>
      <w:tr w:rsidR="008C345B" w:rsidRPr="00627017" w14:paraId="657ED581" w14:textId="77777777" w:rsidTr="008C345B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69F0" w14:textId="77777777" w:rsidR="008C345B" w:rsidRPr="00627017" w:rsidRDefault="008C345B" w:rsidP="008C345B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14D42" w:rsidRPr="00627017" w14:paraId="52F77B96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B457" w14:textId="77777777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5ED4" w14:textId="3D8D4D6E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6E85">
              <w:t>113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289BD" w14:textId="6758CA5C" w:rsidR="00214D42" w:rsidRPr="00627017" w:rsidRDefault="00214D42" w:rsidP="00214D42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6E85"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ADD45" w14:textId="528C0D75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6E85">
              <w:t>-2.7%</w:t>
            </w:r>
          </w:p>
        </w:tc>
      </w:tr>
      <w:tr w:rsidR="00214D42" w:rsidRPr="00627017" w14:paraId="2836F174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0A12" w14:textId="77777777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59E9" w14:textId="5EF71F62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6E85">
              <w:t>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AEE25C5" w14:textId="2EB7CD34" w:rsidR="00214D42" w:rsidRPr="00627017" w:rsidRDefault="00214D42" w:rsidP="00214D42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6E85"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D2BE682" w14:textId="56391A23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6E85">
              <w:t>9.0%</w:t>
            </w:r>
          </w:p>
        </w:tc>
      </w:tr>
      <w:tr w:rsidR="00214D42" w:rsidRPr="00627017" w14:paraId="5A2CD5DA" w14:textId="77777777" w:rsidTr="008C345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BC04" w14:textId="77777777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CD3A" w14:textId="64D89264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6E85">
              <w:t>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419DC" w14:textId="1607E073" w:rsidR="00214D42" w:rsidRPr="00627017" w:rsidRDefault="00214D42" w:rsidP="00214D42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6E85"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10D6E" w14:textId="269718E7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6E85">
              <w:t>18.3%</w:t>
            </w:r>
          </w:p>
        </w:tc>
      </w:tr>
      <w:tr w:rsidR="00214D42" w:rsidRPr="00627017" w14:paraId="1CB093E6" w14:textId="77777777" w:rsidTr="008C345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0270" w14:textId="77777777" w:rsidR="00214D42" w:rsidRPr="00627017" w:rsidRDefault="00214D42" w:rsidP="00214D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27EE" w14:textId="4632D0C1" w:rsidR="00214D42" w:rsidRPr="00627017" w:rsidRDefault="00214D42" w:rsidP="00214D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6E85">
              <w:t>1,082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1079380" w14:textId="7F8CB23D" w:rsidR="00214D42" w:rsidRPr="00627017" w:rsidRDefault="00214D42" w:rsidP="00214D42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6E85">
              <w:t>1,134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AB27EA0" w14:textId="0D45E436" w:rsidR="00214D42" w:rsidRPr="00627017" w:rsidRDefault="00214D42" w:rsidP="00214D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6E85">
              <w:t>4.8%</w:t>
            </w:r>
          </w:p>
        </w:tc>
      </w:tr>
    </w:tbl>
    <w:p w14:paraId="2E16D908" w14:textId="7981AA25" w:rsidR="008C345B" w:rsidRDefault="008C345B" w:rsidP="008C345B">
      <w:pPr>
        <w:ind w:right="-270"/>
      </w:pPr>
      <w:r>
        <w:t xml:space="preserve">The supply of inventory on hand was </w:t>
      </w:r>
      <w:r w:rsidRPr="00F84C72">
        <w:t xml:space="preserve">only enough to satisfy </w:t>
      </w:r>
      <w:r w:rsidR="00BE4F46">
        <w:t>2</w:t>
      </w:r>
      <w:r>
        <w:t>.</w:t>
      </w:r>
      <w:r w:rsidR="00BE4F46">
        <w:t>3</w:t>
      </w:r>
      <w:r w:rsidRPr="00F84C72">
        <w:t xml:space="preserve"> months of </w:t>
      </w:r>
      <w:r>
        <w:t xml:space="preserve">buyer </w:t>
      </w:r>
      <w:r w:rsidRPr="00F84C72">
        <w:t>demand</w:t>
      </w:r>
      <w:r>
        <w:t xml:space="preserve"> in </w:t>
      </w:r>
      <w:r w:rsidR="00534803">
        <w:t>December</w:t>
      </w:r>
      <w:r w:rsidRPr="00F84C72">
        <w:t xml:space="preserve">, and if we subtract units with an offer that level drops to </w:t>
      </w:r>
      <w:r>
        <w:t>1.</w:t>
      </w:r>
      <w:r w:rsidR="00BE4F46">
        <w:t>2</w:t>
      </w:r>
      <w:r w:rsidRPr="00F84C72">
        <w:t xml:space="preserve"> month</w:t>
      </w:r>
      <w:r>
        <w:t>s</w:t>
      </w:r>
      <w:r w:rsidR="00166452">
        <w:t xml:space="preserve"> – </w:t>
      </w:r>
      <w:r w:rsidRPr="0077154C">
        <w:t>significantly below the balanced market</w:t>
      </w:r>
      <w:r w:rsidRPr="008C345B">
        <w:t xml:space="preserve"> </w:t>
      </w:r>
      <w:r w:rsidRPr="0077154C">
        <w:t>assumption of 6 months</w:t>
      </w:r>
      <w:r>
        <w:t>.</w:t>
      </w:r>
    </w:p>
    <w:p w14:paraId="422985E2" w14:textId="77777777" w:rsidR="008C345B" w:rsidRDefault="008C345B" w:rsidP="008C345B"/>
    <w:p w14:paraId="3F7E52C8" w14:textId="07FAF8DA" w:rsidR="00662485" w:rsidRDefault="006626BD" w:rsidP="008C345B">
      <w:r>
        <w:t xml:space="preserve">This is occurring at a time when generational demand is at an all-time high with Millennial and Gen Z first-time </w:t>
      </w:r>
      <w:r w:rsidR="00662485">
        <w:t xml:space="preserve">buyers and </w:t>
      </w:r>
      <w:r>
        <w:t xml:space="preserve">Baby Boomer </w:t>
      </w:r>
      <w:r w:rsidR="00662485">
        <w:t>Empty Nesters</w:t>
      </w:r>
      <w:r>
        <w:t xml:space="preserve"> in the market at the same time</w:t>
      </w:r>
      <w:r w:rsidR="00662485">
        <w:t>.</w:t>
      </w:r>
    </w:p>
    <w:p w14:paraId="78AC26E6" w14:textId="77777777" w:rsidR="0077154C" w:rsidRDefault="0077154C" w:rsidP="00F84C72"/>
    <w:p w14:paraId="5B91B605" w14:textId="4F9DA655" w:rsidR="008C345B" w:rsidRDefault="008C345B" w:rsidP="00F84C72">
      <w:r>
        <w:t xml:space="preserve">Of course, when demand outpaces supply, prices go up. And through </w:t>
      </w:r>
      <w:r w:rsidR="00BE4F46">
        <w:t xml:space="preserve">2024 </w:t>
      </w:r>
      <w:r>
        <w:t>prices in the Milwaukee area went up an average of 6.</w:t>
      </w:r>
      <w:r w:rsidR="00BE4F46">
        <w:t>2</w:t>
      </w:r>
      <w:r>
        <w:t>%; going from $41</w:t>
      </w:r>
      <w:r w:rsidR="00BE4F46">
        <w:t>7</w:t>
      </w:r>
      <w:r>
        <w:t>,</w:t>
      </w:r>
      <w:r w:rsidR="00BE4F46">
        <w:t>800</w:t>
      </w:r>
      <w:r>
        <w:t xml:space="preserve"> to $44</w:t>
      </w:r>
      <w:r w:rsidR="00BE4F46">
        <w:t>3</w:t>
      </w:r>
      <w:r>
        <w:t>,</w:t>
      </w:r>
      <w:r w:rsidR="00BE4F46">
        <w:t>605</w:t>
      </w:r>
      <w:r>
        <w:t>.</w:t>
      </w:r>
    </w:p>
    <w:p w14:paraId="3605A00A" w14:textId="77777777" w:rsidR="008C345B" w:rsidRDefault="008C345B" w:rsidP="00F84C72"/>
    <w:p w14:paraId="4B4257CB" w14:textId="77777777" w:rsidR="008C345B" w:rsidRDefault="008C345B" w:rsidP="00D46FAC">
      <w:r>
        <w:t>The only way to meet demand and ease price pressure is to increase n</w:t>
      </w:r>
      <w:r w:rsidR="00D46FAC" w:rsidRPr="00C434EA">
        <w:t>ew construction</w:t>
      </w:r>
      <w:r>
        <w:t>, which</w:t>
      </w:r>
      <w:r w:rsidR="00D46FAC" w:rsidRPr="00C434EA">
        <w:t xml:space="preserve"> would normally add 3,000 - 4,000 units to the market annually</w:t>
      </w:r>
      <w:r>
        <w:t xml:space="preserve">. </w:t>
      </w:r>
    </w:p>
    <w:p w14:paraId="60762BA5" w14:textId="77777777" w:rsidR="008C345B" w:rsidRDefault="008C345B" w:rsidP="00D46FAC"/>
    <w:p w14:paraId="550827F1" w14:textId="601F2F90" w:rsidR="00E65D35" w:rsidRDefault="007C3421" w:rsidP="003244DA">
      <w:pPr>
        <w:ind w:right="-180"/>
      </w:pPr>
      <w:r>
        <w:t>A</w:t>
      </w:r>
      <w:r w:rsidR="003244DA">
        <w:t xml:space="preserve">s we have been highlighting for </w:t>
      </w:r>
      <w:r w:rsidR="003244DA" w:rsidRPr="0096573C">
        <w:rPr>
          <w:i/>
          <w:iCs/>
          <w:u w:val="single"/>
        </w:rPr>
        <w:t>several years</w:t>
      </w:r>
      <w:r w:rsidR="003244DA">
        <w:t xml:space="preserve">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 xml:space="preserve">an exceedingly </w:t>
      </w:r>
      <w:r w:rsidR="004F4D5B">
        <w:t>tough time</w:t>
      </w:r>
      <w:r w:rsidR="00306E84">
        <w:t xml:space="preserve">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condos and single-family houses. </w:t>
      </w:r>
    </w:p>
    <w:p w14:paraId="47D8F696" w14:textId="77777777" w:rsidR="00E65D35" w:rsidRDefault="00E65D35" w:rsidP="003244DA">
      <w:pPr>
        <w:ind w:right="-180"/>
      </w:pPr>
    </w:p>
    <w:p w14:paraId="4E012A29" w14:textId="0B16D8C7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 w:rsidR="00166452">
        <w:t>. T</w:t>
      </w:r>
      <w:r w:rsidRPr="00F84C72">
        <w:t>housands of would-be homeowners will be forced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tbl>
      <w:tblPr>
        <w:tblpPr w:leftFromText="187" w:rightFromText="360" w:topFromText="202" w:bottomFromText="288" w:vertAnchor="text" w:horzAnchor="margin" w:tblpY="122"/>
        <w:tblW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64"/>
        <w:gridCol w:w="1183"/>
        <w:gridCol w:w="1262"/>
        <w:gridCol w:w="992"/>
      </w:tblGrid>
      <w:tr w:rsidR="008C345B" w:rsidRPr="00DE1D23" w14:paraId="5885004C" w14:textId="77777777" w:rsidTr="008B0C8D">
        <w:trPr>
          <w:trHeight w:val="360"/>
        </w:trPr>
        <w:tc>
          <w:tcPr>
            <w:tcW w:w="64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EB28" w14:textId="7EF613BF" w:rsidR="008C345B" w:rsidRPr="00430E07" w:rsidRDefault="008C345B" w:rsidP="008B0C8D">
            <w:pPr>
              <w:spacing w:line="252" w:lineRule="auto"/>
              <w:contextualSpacing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732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 w:type="page"/>
            </w:r>
            <w:r w:rsidR="00EE6F6F" w:rsidRPr="00EE6F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="00EE6F6F" w:rsidRPr="00EE6F6F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EE6F6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Q</w:t>
            </w:r>
            <w:r w:rsidRPr="001811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uarter</w:t>
            </w:r>
            <w:r w:rsidRPr="00DE1D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Sale Prices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(Jan 1 –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Sept 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8C345B" w:rsidRPr="00DE1D23" w14:paraId="0DAF3846" w14:textId="77777777" w:rsidTr="008B0C8D">
        <w:trPr>
          <w:trHeight w:val="357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0169483E" w14:textId="77777777" w:rsidR="008C345B" w:rsidRPr="00DE1D23" w:rsidRDefault="008C345B" w:rsidP="008B0C8D">
            <w:pPr>
              <w:ind w:left="175" w:right="-15"/>
              <w:contextualSpacing w:val="0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County</w:t>
            </w:r>
          </w:p>
        </w:tc>
        <w:tc>
          <w:tcPr>
            <w:tcW w:w="126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23D4" w14:textId="77777777" w:rsidR="008C345B" w:rsidRPr="00DE1D23" w:rsidRDefault="008C345B" w:rsidP="008B0C8D">
            <w:pPr>
              <w:spacing w:line="207" w:lineRule="atLeast"/>
              <w:ind w:left="44"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436C" w14:textId="77777777" w:rsidR="008C345B" w:rsidRPr="00DE1D23" w:rsidRDefault="008C345B" w:rsidP="008B0C8D">
            <w:pPr>
              <w:spacing w:line="207" w:lineRule="atLeast"/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79F36F81" w14:textId="77777777" w:rsidR="008C345B" w:rsidRPr="00DE1D23" w:rsidRDefault="008C345B" w:rsidP="008B0C8D">
            <w:pPr>
              <w:ind w:left="89" w:right="60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$ Change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B09AFF0" w14:textId="77777777" w:rsidR="008C345B" w:rsidRPr="00DE1D23" w:rsidRDefault="008C345B" w:rsidP="008B0C8D">
            <w:pPr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% Chng</w:t>
            </w:r>
          </w:p>
        </w:tc>
      </w:tr>
      <w:tr w:rsidR="007E15E0" w:rsidRPr="00DE1D23" w14:paraId="478622E0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7DBE" w14:textId="77777777" w:rsidR="007E15E0" w:rsidRPr="00DE1D23" w:rsidRDefault="007E15E0" w:rsidP="007E15E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Milwaukee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B139" w14:textId="6E838234" w:rsidR="007E15E0" w:rsidRPr="00DE1D23" w:rsidRDefault="007E15E0" w:rsidP="007E15E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47536">
              <w:t xml:space="preserve"> $271,609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B152" w14:textId="07BF7487" w:rsidR="007E15E0" w:rsidRPr="00430E07" w:rsidRDefault="007E15E0" w:rsidP="007E15E0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DC51B5">
              <w:t xml:space="preserve"> $292,505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879EB" w14:textId="125C780A" w:rsidR="007E15E0" w:rsidRPr="00DE1D23" w:rsidRDefault="007E15E0" w:rsidP="007E15E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300C8">
              <w:t xml:space="preserve"> $20,896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AA121F" w14:textId="4A8003E6" w:rsidR="007E15E0" w:rsidRPr="00DE1D23" w:rsidRDefault="007E15E0" w:rsidP="007E15E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705CD">
              <w:t>7.7%</w:t>
            </w:r>
          </w:p>
        </w:tc>
      </w:tr>
      <w:tr w:rsidR="007E15E0" w:rsidRPr="00DE1D23" w14:paraId="22F88E46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CFB3" w14:textId="77777777" w:rsidR="007E15E0" w:rsidRPr="00DE1D23" w:rsidRDefault="007E15E0" w:rsidP="007E15E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Waukesha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0E8B" w14:textId="61600273" w:rsidR="007E15E0" w:rsidRPr="00DE1D23" w:rsidRDefault="007E15E0" w:rsidP="007E15E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47536">
              <w:t xml:space="preserve"> $501,553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E8E7" w14:textId="540DC23A" w:rsidR="007E15E0" w:rsidRPr="00430E07" w:rsidRDefault="007E15E0" w:rsidP="007E15E0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DC51B5">
              <w:t xml:space="preserve"> $530,190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E1EA9E0" w14:textId="40CD108D" w:rsidR="007E15E0" w:rsidRPr="00DE1D23" w:rsidRDefault="007E15E0" w:rsidP="007E15E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300C8">
              <w:t xml:space="preserve"> $28,637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967ECE9" w14:textId="40678CB7" w:rsidR="007E15E0" w:rsidRPr="00DE1D23" w:rsidRDefault="007E15E0" w:rsidP="007E15E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705CD">
              <w:t>5.7%</w:t>
            </w:r>
          </w:p>
        </w:tc>
      </w:tr>
      <w:tr w:rsidR="007E15E0" w:rsidRPr="00DE1D23" w14:paraId="4E38B3AE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CF00" w14:textId="77777777" w:rsidR="007E15E0" w:rsidRPr="00DE1D23" w:rsidRDefault="007E15E0" w:rsidP="007E15E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Washington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F5FC" w14:textId="3FE09403" w:rsidR="007E15E0" w:rsidRPr="00DE1D23" w:rsidRDefault="007E15E0" w:rsidP="007E15E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47536">
              <w:t xml:space="preserve"> $503,122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AD39" w14:textId="0CA54C5E" w:rsidR="007E15E0" w:rsidRPr="00430E07" w:rsidRDefault="007E15E0" w:rsidP="007E15E0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DC51B5">
              <w:t xml:space="preserve"> $537,420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E3407" w14:textId="39A2E91E" w:rsidR="007E15E0" w:rsidRPr="00DE1D23" w:rsidRDefault="007E15E0" w:rsidP="007E15E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300C8">
              <w:t xml:space="preserve"> $34,298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2EE5F5" w14:textId="6AB9161B" w:rsidR="007E15E0" w:rsidRPr="00DE1D23" w:rsidRDefault="007E15E0" w:rsidP="007E15E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705CD">
              <w:t>6.82%</w:t>
            </w:r>
          </w:p>
        </w:tc>
      </w:tr>
      <w:tr w:rsidR="007E15E0" w:rsidRPr="00DE1D23" w14:paraId="63C39925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0595" w14:textId="77777777" w:rsidR="007E15E0" w:rsidRPr="00DE1D23" w:rsidRDefault="007E15E0" w:rsidP="007E15E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Ozaukee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0A23" w14:textId="469806A5" w:rsidR="007E15E0" w:rsidRPr="00DE1D23" w:rsidRDefault="007E15E0" w:rsidP="007E15E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47536">
              <w:t xml:space="preserve"> $394,917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8E7F" w14:textId="19527486" w:rsidR="007E15E0" w:rsidRPr="00430E07" w:rsidRDefault="007E15E0" w:rsidP="007E15E0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DC51B5">
              <w:t xml:space="preserve"> $414,303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4E9774D" w14:textId="6257231D" w:rsidR="007E15E0" w:rsidRPr="00DE1D23" w:rsidRDefault="007E15E0" w:rsidP="007E15E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300C8">
              <w:t xml:space="preserve"> $19,386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B92A4A9" w14:textId="4FDC6630" w:rsidR="007E15E0" w:rsidRPr="00DE1D23" w:rsidRDefault="007E15E0" w:rsidP="007E15E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705CD">
              <w:t>4.9%</w:t>
            </w:r>
          </w:p>
        </w:tc>
      </w:tr>
      <w:tr w:rsidR="007E15E0" w:rsidRPr="00DE1D23" w14:paraId="72C01478" w14:textId="77777777" w:rsidTr="008B0C8D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11A8" w14:textId="77777777" w:rsidR="007E15E0" w:rsidRPr="00DE1D23" w:rsidRDefault="007E15E0" w:rsidP="007E15E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Metro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457B" w14:textId="2F7C46AF" w:rsidR="007E15E0" w:rsidRPr="00DE1D23" w:rsidRDefault="007E15E0" w:rsidP="007E15E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47536">
              <w:t xml:space="preserve"> $417,800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454A" w14:textId="21B344B4" w:rsidR="007E15E0" w:rsidRPr="004F2090" w:rsidRDefault="007E15E0" w:rsidP="007E15E0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b/>
                <w:bCs/>
                <w:szCs w:val="21"/>
              </w:rPr>
            </w:pPr>
            <w:r w:rsidRPr="00DC51B5">
              <w:t xml:space="preserve"> $443,605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21E45" w14:textId="28EA9850" w:rsidR="007E15E0" w:rsidRPr="00DE1D23" w:rsidRDefault="007E15E0" w:rsidP="007E15E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300C8">
              <w:t xml:space="preserve"> $25,804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90169B" w14:textId="70E2A462" w:rsidR="007E15E0" w:rsidRPr="00DE1D23" w:rsidRDefault="007E15E0" w:rsidP="007E15E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705CD">
              <w:t>6.2%</w:t>
            </w:r>
          </w:p>
        </w:tc>
      </w:tr>
      <w:tr w:rsidR="008C345B" w:rsidRPr="00DE1D23" w14:paraId="5EE9AD65" w14:textId="77777777" w:rsidTr="008B0C8D">
        <w:trPr>
          <w:trHeight w:val="90"/>
        </w:trPr>
        <w:tc>
          <w:tcPr>
            <w:tcW w:w="6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2978" w14:textId="77777777" w:rsidR="008C345B" w:rsidRPr="00430E07" w:rsidRDefault="008C345B" w:rsidP="008B0C8D">
            <w:pPr>
              <w:spacing w:line="252" w:lineRule="auto"/>
              <w:ind w:right="-15"/>
              <w:contextualSpacing w:val="0"/>
              <w:jc w:val="right"/>
              <w:rPr>
                <w:rFonts w:eastAsia="Calibri" w:cs="Arial"/>
                <w:sz w:val="10"/>
                <w:szCs w:val="10"/>
              </w:rPr>
            </w:pPr>
          </w:p>
        </w:tc>
      </w:tr>
      <w:tr w:rsidR="007E15E0" w:rsidRPr="00DE1D23" w14:paraId="7FB0D235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DC80" w14:textId="77777777" w:rsidR="007E15E0" w:rsidRPr="00DE1D23" w:rsidRDefault="007E15E0" w:rsidP="007E15E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Racine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E80D" w14:textId="1B65B177" w:rsidR="007E15E0" w:rsidRPr="00DE1D23" w:rsidRDefault="007E15E0" w:rsidP="007E15E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0A259A">
              <w:t xml:space="preserve"> $284,715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147C" w14:textId="2FA99B39" w:rsidR="007E15E0" w:rsidRPr="00430E07" w:rsidRDefault="007E15E0" w:rsidP="007E15E0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703902">
              <w:t xml:space="preserve"> $319,060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5CA1E" w14:textId="0149DEE9" w:rsidR="007E15E0" w:rsidRPr="00DE1D23" w:rsidRDefault="007E15E0" w:rsidP="007E15E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C1DBB">
              <w:t xml:space="preserve"> $34,345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97980C" w14:textId="11FBC460" w:rsidR="007E15E0" w:rsidRPr="00DE1D23" w:rsidRDefault="007E15E0" w:rsidP="007E15E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65509">
              <w:t>12.1%</w:t>
            </w:r>
          </w:p>
        </w:tc>
      </w:tr>
      <w:tr w:rsidR="007E15E0" w:rsidRPr="00DE1D23" w14:paraId="0D6DA120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30E4" w14:textId="77777777" w:rsidR="007E15E0" w:rsidRPr="00DE1D23" w:rsidRDefault="007E15E0" w:rsidP="007E15E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Kenosha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7B90" w14:textId="221CBC21" w:rsidR="007E15E0" w:rsidRPr="00DE1D23" w:rsidRDefault="007E15E0" w:rsidP="007E15E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0A259A">
              <w:t xml:space="preserve"> $313,810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09E4" w14:textId="6575E942" w:rsidR="007E15E0" w:rsidRPr="00430E07" w:rsidRDefault="007E15E0" w:rsidP="007E15E0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703902">
              <w:t xml:space="preserve"> $343,097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9067413" w14:textId="3B720287" w:rsidR="007E15E0" w:rsidRPr="00DE1D23" w:rsidRDefault="007E15E0" w:rsidP="007E15E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C1DBB">
              <w:t xml:space="preserve"> $29,287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79FEDAC" w14:textId="32851CA7" w:rsidR="007E15E0" w:rsidRPr="00DE1D23" w:rsidRDefault="007E15E0" w:rsidP="007E15E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65509">
              <w:t>9.3%</w:t>
            </w:r>
          </w:p>
        </w:tc>
      </w:tr>
      <w:tr w:rsidR="007E15E0" w:rsidRPr="00DE1D23" w14:paraId="430E1F89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0099" w14:textId="77777777" w:rsidR="007E15E0" w:rsidRPr="00DE1D23" w:rsidRDefault="007E15E0" w:rsidP="007E15E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Walworth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BB5C" w14:textId="52A350ED" w:rsidR="007E15E0" w:rsidRPr="00DE1D23" w:rsidRDefault="007E15E0" w:rsidP="007E15E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0A259A">
              <w:t xml:space="preserve"> $546,126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80BA" w14:textId="60497B45" w:rsidR="007E15E0" w:rsidRPr="00430E07" w:rsidRDefault="007E15E0" w:rsidP="007E15E0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703902">
              <w:t xml:space="preserve"> $552,732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94445" w14:textId="36EA617F" w:rsidR="007E15E0" w:rsidRPr="00DE1D23" w:rsidRDefault="007E15E0" w:rsidP="007E15E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C1DBB">
              <w:t xml:space="preserve"> $6,606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6D1011" w14:textId="6C6E5319" w:rsidR="007E15E0" w:rsidRPr="00DE1D23" w:rsidRDefault="007E15E0" w:rsidP="007E15E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65509">
              <w:t>1.2%</w:t>
            </w:r>
          </w:p>
        </w:tc>
      </w:tr>
      <w:tr w:rsidR="007E15E0" w:rsidRPr="00DE1D23" w14:paraId="47DC6073" w14:textId="77777777" w:rsidTr="008B0C8D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AFED" w14:textId="77777777" w:rsidR="007E15E0" w:rsidRPr="00DE1D23" w:rsidRDefault="007E15E0" w:rsidP="007E15E0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SE WI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D2D1" w14:textId="50D41F96" w:rsidR="007E15E0" w:rsidRPr="00DE1D23" w:rsidRDefault="007E15E0" w:rsidP="007E15E0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0A259A">
              <w:t xml:space="preserve"> $402,265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6CDA" w14:textId="028D1556" w:rsidR="007E15E0" w:rsidRPr="00430E07" w:rsidRDefault="007E15E0" w:rsidP="007E15E0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703902">
              <w:t xml:space="preserve"> $427,044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4ADA143" w14:textId="384EA8CD" w:rsidR="007E15E0" w:rsidRPr="00DE1D23" w:rsidRDefault="007E15E0" w:rsidP="007E15E0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C1DBB">
              <w:t xml:space="preserve"> $24,779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4107EC7" w14:textId="6A5A0AB8" w:rsidR="007E15E0" w:rsidRPr="00DE1D23" w:rsidRDefault="007E15E0" w:rsidP="007E15E0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65509">
              <w:t>6.2%</w:t>
            </w:r>
          </w:p>
        </w:tc>
      </w:tr>
    </w:tbl>
    <w:p w14:paraId="3580E905" w14:textId="77777777" w:rsidR="002920FB" w:rsidRDefault="002920FB" w:rsidP="003244DA"/>
    <w:p w14:paraId="552448E6" w14:textId="1DBB4CE0" w:rsidR="003244DA" w:rsidRDefault="003244DA" w:rsidP="003244DA">
      <w:r>
        <w:t xml:space="preserve">That will result in problems decades down the road when families do not have enough home equity to tap into for college expenses, to remodel their home, or for emergencies. </w:t>
      </w:r>
    </w:p>
    <w:p w14:paraId="72D704CD" w14:textId="3DE02050" w:rsidR="00BE4F46" w:rsidRDefault="00BE4F46">
      <w:pPr>
        <w:spacing w:after="160" w:line="259" w:lineRule="auto"/>
        <w:contextualSpacing w:val="0"/>
      </w:pPr>
      <w:r>
        <w:br w:type="page"/>
      </w:r>
    </w:p>
    <w:p w14:paraId="6C6A5D4A" w14:textId="77777777" w:rsidR="003244DA" w:rsidRPr="00985B7F" w:rsidRDefault="003244DA" w:rsidP="003244DA">
      <w:pPr>
        <w:pStyle w:val="ParagraphIntro"/>
      </w:pPr>
      <w:r w:rsidRPr="00985B7F">
        <w:lastRenderedPageBreak/>
        <w:t>Where to go</w:t>
      </w:r>
    </w:p>
    <w:p w14:paraId="4789C15D" w14:textId="77777777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77777777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 a wholly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04B449FD" w14:textId="76A7201E" w:rsidR="002920FB" w:rsidRDefault="002920FB">
      <w:p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FA9B6E" w14:textId="408F045D" w:rsidR="00722A43" w:rsidRDefault="00BE4F46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9A72CFD" wp14:editId="2D75D182">
            <wp:extent cx="5486400" cy="3200400"/>
            <wp:effectExtent l="0" t="0" r="0" b="0"/>
            <wp:docPr id="7216875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303255DD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534803">
        <w:rPr>
          <w:rStyle w:val="NormalCalloutText"/>
        </w:rPr>
        <w:t>December</w:t>
      </w:r>
      <w:r w:rsidR="0060287B" w:rsidRPr="00F84C72">
        <w:rPr>
          <w:rStyle w:val="NormalCalloutText"/>
        </w:rPr>
        <w:t xml:space="preserve"> was </w:t>
      </w:r>
      <w:r w:rsidR="00BE4F46">
        <w:rPr>
          <w:rStyle w:val="NormalCalloutText"/>
        </w:rPr>
        <w:t>2</w:t>
      </w:r>
      <w:r w:rsidR="002920FB">
        <w:rPr>
          <w:rStyle w:val="NormalCalloutText"/>
        </w:rPr>
        <w:t>.</w:t>
      </w:r>
      <w:r w:rsidR="00BE4F46">
        <w:rPr>
          <w:rStyle w:val="NormalCalloutText"/>
        </w:rPr>
        <w:t>3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BE4F46">
        <w:rPr>
          <w:b/>
          <w:bCs/>
          <w:color w:val="203058"/>
        </w:rPr>
        <w:t>2</w:t>
      </w:r>
      <w:r w:rsidR="00160B50">
        <w:rPr>
          <w:b/>
          <w:bCs/>
          <w:color w:val="203058"/>
        </w:rPr>
        <w:t>,</w:t>
      </w:r>
      <w:r w:rsidR="00BE4F46">
        <w:rPr>
          <w:b/>
          <w:bCs/>
          <w:color w:val="203058"/>
        </w:rPr>
        <w:t>408</w:t>
      </w:r>
      <w:r w:rsidR="00FE2AA3" w:rsidRPr="00F84C72">
        <w:rPr>
          <w:rStyle w:val="NormalCalloutText"/>
        </w:rPr>
        <w:t xml:space="preserve"> 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BE4F46">
        <w:rPr>
          <w:rStyle w:val="NormalCalloutText"/>
        </w:rPr>
        <w:t>2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07DA7EA2" w:rsidR="00FE2AA3" w:rsidRDefault="00BE4F46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6438BD41" wp14:editId="6FC14D7D">
            <wp:extent cx="5486400" cy="2971800"/>
            <wp:effectExtent l="0" t="0" r="0" b="0"/>
            <wp:docPr id="1652320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75326B18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BE4F46">
        <w:t>3</w:t>
      </w:r>
      <w:r w:rsidRPr="00E65D35">
        <w:t>,</w:t>
      </w:r>
      <w:r w:rsidR="00BE4F46">
        <w:t>210</w:t>
      </w:r>
      <w:r w:rsidRPr="00E65D35">
        <w:t xml:space="preserve"> current listings providing </w:t>
      </w:r>
      <w:r w:rsidR="00BE4F46">
        <w:t>2</w:t>
      </w:r>
      <w:r w:rsidR="00E65D35" w:rsidRPr="00E65D35">
        <w:t>.</w:t>
      </w:r>
      <w:r w:rsidR="00BE4F46">
        <w:t>3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BE4F46">
        <w:rPr>
          <w:rStyle w:val="NormalCalloutText"/>
        </w:rPr>
        <w:t>5</w:t>
      </w:r>
      <w:r w:rsidRPr="00F84C72">
        <w:rPr>
          <w:rStyle w:val="NormalCalloutText"/>
        </w:rPr>
        <w:t>,</w:t>
      </w:r>
      <w:r w:rsidR="00BE4F46">
        <w:rPr>
          <w:rStyle w:val="NormalCalloutText"/>
        </w:rPr>
        <w:t>100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18F53068" w:rsidR="002920FB" w:rsidRDefault="002920FB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791AF9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14ED44F" w14:textId="240D54AB" w:rsidR="00A5422D" w:rsidRDefault="00BE4F46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E75E0D0" wp14:editId="4BE778C9">
            <wp:extent cx="5943600" cy="3886200"/>
            <wp:effectExtent l="0" t="0" r="0" b="0"/>
            <wp:docPr id="2216625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8CD902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328C94B1" w14:textId="04990DB3" w:rsidR="006146B0" w:rsidRDefault="00BE4F46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EAF3037" wp14:editId="3A84F1E3">
            <wp:extent cx="5943600" cy="3886200"/>
            <wp:effectExtent l="0" t="0" r="0" b="0"/>
            <wp:docPr id="10619430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6F96577-B460-4F20-B719-714CC5F700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713AC9" w14:textId="77777777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67A0DA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48EDFCE2" w14:textId="551B504A" w:rsidR="006146B0" w:rsidRDefault="00BE4F46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3E410C2" wp14:editId="3EA8E1AA">
            <wp:extent cx="5943600" cy="3886200"/>
            <wp:effectExtent l="0" t="0" r="0" b="0"/>
            <wp:docPr id="8297650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8815FD6-83CC-488E-B25C-C24293664E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14DBBB" w14:textId="77777777" w:rsidR="00082AAF" w:rsidRDefault="00082AAF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F178FE3" w14:textId="646D105C" w:rsidR="006D1DE2" w:rsidRPr="00082AAF" w:rsidRDefault="00BE4F46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7197822" wp14:editId="5962CEEB">
            <wp:extent cx="5943600" cy="3886200"/>
            <wp:effectExtent l="0" t="0" r="0" b="0"/>
            <wp:docPr id="147119216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6E2D2AB-EC18-41B9-B6F3-F449A1AB3C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6D1DE2" w:rsidRPr="00082AAF" w:rsidSect="00A542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8BD1" w14:textId="77777777" w:rsidR="002114BD" w:rsidRDefault="002114BD" w:rsidP="003B327A">
      <w:r>
        <w:separator/>
      </w:r>
    </w:p>
  </w:endnote>
  <w:endnote w:type="continuationSeparator" w:id="0">
    <w:p w14:paraId="535A44C7" w14:textId="77777777" w:rsidR="002114BD" w:rsidRDefault="002114BD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06A04" w14:textId="77777777" w:rsidR="002114BD" w:rsidRDefault="002114BD" w:rsidP="003B327A">
      <w:r>
        <w:separator/>
      </w:r>
    </w:p>
  </w:footnote>
  <w:footnote w:type="continuationSeparator" w:id="0">
    <w:p w14:paraId="7EB89CE7" w14:textId="77777777" w:rsidR="002114BD" w:rsidRDefault="002114BD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3760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D86"/>
    <w:rsid w:val="000D0E85"/>
    <w:rsid w:val="000E0548"/>
    <w:rsid w:val="000E4CD9"/>
    <w:rsid w:val="000E646C"/>
    <w:rsid w:val="000E6502"/>
    <w:rsid w:val="000F21F9"/>
    <w:rsid w:val="0010266B"/>
    <w:rsid w:val="00105A82"/>
    <w:rsid w:val="00107E28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30AA"/>
    <w:rsid w:val="00153E0D"/>
    <w:rsid w:val="00156337"/>
    <w:rsid w:val="00157115"/>
    <w:rsid w:val="00160B50"/>
    <w:rsid w:val="0016242D"/>
    <w:rsid w:val="00162A57"/>
    <w:rsid w:val="00166452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3C62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E101E"/>
    <w:rsid w:val="001F0911"/>
    <w:rsid w:val="001F245E"/>
    <w:rsid w:val="001F5CBD"/>
    <w:rsid w:val="001F7017"/>
    <w:rsid w:val="00205183"/>
    <w:rsid w:val="00207323"/>
    <w:rsid w:val="002114BD"/>
    <w:rsid w:val="00211BC4"/>
    <w:rsid w:val="00214D42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54EA2"/>
    <w:rsid w:val="00254F9F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920FB"/>
    <w:rsid w:val="002A41E2"/>
    <w:rsid w:val="002A6B1C"/>
    <w:rsid w:val="002A78ED"/>
    <w:rsid w:val="002B1788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E46BA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04E0"/>
    <w:rsid w:val="004217B7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1980"/>
    <w:rsid w:val="0048406D"/>
    <w:rsid w:val="0049421B"/>
    <w:rsid w:val="004A1A6C"/>
    <w:rsid w:val="004A5A2A"/>
    <w:rsid w:val="004A5FC1"/>
    <w:rsid w:val="004B1439"/>
    <w:rsid w:val="004B1C64"/>
    <w:rsid w:val="004B2A09"/>
    <w:rsid w:val="004B2A93"/>
    <w:rsid w:val="004C7E31"/>
    <w:rsid w:val="004E6698"/>
    <w:rsid w:val="004E6E55"/>
    <w:rsid w:val="004E7EEF"/>
    <w:rsid w:val="004F08C0"/>
    <w:rsid w:val="004F2090"/>
    <w:rsid w:val="004F4D5B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803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B5396"/>
    <w:rsid w:val="005C1A84"/>
    <w:rsid w:val="005C25E4"/>
    <w:rsid w:val="005C3BB5"/>
    <w:rsid w:val="005C4AF7"/>
    <w:rsid w:val="005C581B"/>
    <w:rsid w:val="005C5E3F"/>
    <w:rsid w:val="005D0C58"/>
    <w:rsid w:val="005D4112"/>
    <w:rsid w:val="005D6400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2485"/>
    <w:rsid w:val="006626BD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C0A4A"/>
    <w:rsid w:val="006D06AC"/>
    <w:rsid w:val="006D13A0"/>
    <w:rsid w:val="006D176A"/>
    <w:rsid w:val="006D195E"/>
    <w:rsid w:val="006D1DE2"/>
    <w:rsid w:val="006D22A4"/>
    <w:rsid w:val="006D3772"/>
    <w:rsid w:val="006D6799"/>
    <w:rsid w:val="006E0511"/>
    <w:rsid w:val="006E0DB1"/>
    <w:rsid w:val="006E60DF"/>
    <w:rsid w:val="006F7E40"/>
    <w:rsid w:val="00701269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0AA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D09D8"/>
    <w:rsid w:val="007E0B53"/>
    <w:rsid w:val="007E15E0"/>
    <w:rsid w:val="007E44AB"/>
    <w:rsid w:val="007E5323"/>
    <w:rsid w:val="007F6B5D"/>
    <w:rsid w:val="00800766"/>
    <w:rsid w:val="0080131C"/>
    <w:rsid w:val="00805843"/>
    <w:rsid w:val="00805CC5"/>
    <w:rsid w:val="0080655E"/>
    <w:rsid w:val="008107AA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345B"/>
    <w:rsid w:val="008C6F6A"/>
    <w:rsid w:val="008D024B"/>
    <w:rsid w:val="008D51A0"/>
    <w:rsid w:val="008D5219"/>
    <w:rsid w:val="008E494E"/>
    <w:rsid w:val="008E64A6"/>
    <w:rsid w:val="008F12C5"/>
    <w:rsid w:val="008F15EA"/>
    <w:rsid w:val="008F46A7"/>
    <w:rsid w:val="00900DBC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623"/>
    <w:rsid w:val="00956B75"/>
    <w:rsid w:val="00957AA6"/>
    <w:rsid w:val="00960659"/>
    <w:rsid w:val="00961059"/>
    <w:rsid w:val="00963F94"/>
    <w:rsid w:val="00965378"/>
    <w:rsid w:val="0096573C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9F23EF"/>
    <w:rsid w:val="00A017CA"/>
    <w:rsid w:val="00A10126"/>
    <w:rsid w:val="00A139C9"/>
    <w:rsid w:val="00A1782B"/>
    <w:rsid w:val="00A2068E"/>
    <w:rsid w:val="00A2088C"/>
    <w:rsid w:val="00A2539A"/>
    <w:rsid w:val="00A25A48"/>
    <w:rsid w:val="00A35390"/>
    <w:rsid w:val="00A3559A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0451"/>
    <w:rsid w:val="00AA16AC"/>
    <w:rsid w:val="00AB0545"/>
    <w:rsid w:val="00AB1D2A"/>
    <w:rsid w:val="00AB30DB"/>
    <w:rsid w:val="00AC28D6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65888"/>
    <w:rsid w:val="00B704CC"/>
    <w:rsid w:val="00B81A3B"/>
    <w:rsid w:val="00B85795"/>
    <w:rsid w:val="00B86C67"/>
    <w:rsid w:val="00B92635"/>
    <w:rsid w:val="00B95302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D05F0"/>
    <w:rsid w:val="00BD2974"/>
    <w:rsid w:val="00BD363D"/>
    <w:rsid w:val="00BD5FEE"/>
    <w:rsid w:val="00BD6EF6"/>
    <w:rsid w:val="00BD7E94"/>
    <w:rsid w:val="00BE0E5A"/>
    <w:rsid w:val="00BE4F46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60C7C"/>
    <w:rsid w:val="00C63ADE"/>
    <w:rsid w:val="00C63D82"/>
    <w:rsid w:val="00C73AAD"/>
    <w:rsid w:val="00C746BD"/>
    <w:rsid w:val="00C76AED"/>
    <w:rsid w:val="00C77E4B"/>
    <w:rsid w:val="00C8517F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0441"/>
    <w:rsid w:val="00D27B49"/>
    <w:rsid w:val="00D31E52"/>
    <w:rsid w:val="00D33806"/>
    <w:rsid w:val="00D34058"/>
    <w:rsid w:val="00D36A48"/>
    <w:rsid w:val="00D4300F"/>
    <w:rsid w:val="00D432FD"/>
    <w:rsid w:val="00D465C9"/>
    <w:rsid w:val="00D46FAC"/>
    <w:rsid w:val="00D510F7"/>
    <w:rsid w:val="00D71B10"/>
    <w:rsid w:val="00D729BF"/>
    <w:rsid w:val="00D747A8"/>
    <w:rsid w:val="00D75691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4BEE"/>
    <w:rsid w:val="00E5715D"/>
    <w:rsid w:val="00E5727F"/>
    <w:rsid w:val="00E578C4"/>
    <w:rsid w:val="00E6481D"/>
    <w:rsid w:val="00E64AEC"/>
    <w:rsid w:val="00E65D35"/>
    <w:rsid w:val="00E7187F"/>
    <w:rsid w:val="00E72019"/>
    <w:rsid w:val="00E72902"/>
    <w:rsid w:val="00E739D4"/>
    <w:rsid w:val="00E749C3"/>
    <w:rsid w:val="00E7590D"/>
    <w:rsid w:val="00E8190F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EE6F6F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BD7"/>
    <w:rsid w:val="00F41EBA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2119</c:v>
                </c:pt>
                <c:pt idx="1">
                  <c:v>1833</c:v>
                </c:pt>
                <c:pt idx="2">
                  <c:v>2055</c:v>
                </c:pt>
                <c:pt idx="3">
                  <c:v>2018</c:v>
                </c:pt>
                <c:pt idx="4">
                  <c:v>2297</c:v>
                </c:pt>
                <c:pt idx="5">
                  <c:v>2575</c:v>
                </c:pt>
                <c:pt idx="6">
                  <c:v>2458</c:v>
                </c:pt>
                <c:pt idx="7">
                  <c:v>2945</c:v>
                </c:pt>
                <c:pt idx="8">
                  <c:v>3062</c:v>
                </c:pt>
                <c:pt idx="9">
                  <c:v>3074</c:v>
                </c:pt>
                <c:pt idx="10">
                  <c:v>2845</c:v>
                </c:pt>
                <c:pt idx="11">
                  <c:v>2408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91-4549-B3AD-C7C62503FEFE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965</c:v>
                </c:pt>
                <c:pt idx="1">
                  <c:v>1181</c:v>
                </c:pt>
                <c:pt idx="2">
                  <c:v>1319</c:v>
                </c:pt>
                <c:pt idx="3">
                  <c:v>1563</c:v>
                </c:pt>
                <c:pt idx="4">
                  <c:v>1613</c:v>
                </c:pt>
                <c:pt idx="5">
                  <c:v>1486</c:v>
                </c:pt>
                <c:pt idx="6">
                  <c:v>1516</c:v>
                </c:pt>
                <c:pt idx="7">
                  <c:v>1401</c:v>
                </c:pt>
                <c:pt idx="8">
                  <c:v>1373</c:v>
                </c:pt>
                <c:pt idx="9">
                  <c:v>1368</c:v>
                </c:pt>
                <c:pt idx="10">
                  <c:v>1065</c:v>
                </c:pt>
                <c:pt idx="11">
                  <c:v>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91-4549-B3AD-C7C62503F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2.2999999999999998</c:v>
                </c:pt>
                <c:pt idx="1">
                  <c:v>2.2000000000000002</c:v>
                </c:pt>
                <c:pt idx="2">
                  <c:v>2.5</c:v>
                </c:pt>
                <c:pt idx="3">
                  <c:v>2.6</c:v>
                </c:pt>
                <c:pt idx="4">
                  <c:v>2.8</c:v>
                </c:pt>
                <c:pt idx="5">
                  <c:v>2.9</c:v>
                </c:pt>
                <c:pt idx="6">
                  <c:v>2.9</c:v>
                </c:pt>
                <c:pt idx="7">
                  <c:v>3.1</c:v>
                </c:pt>
                <c:pt idx="8">
                  <c:v>3.2</c:v>
                </c:pt>
                <c:pt idx="9">
                  <c:v>3.2</c:v>
                </c:pt>
                <c:pt idx="10">
                  <c:v>2.8</c:v>
                </c:pt>
                <c:pt idx="11">
                  <c:v>2.2999999999999998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A91-4549-B3AD-C7C62503FEFE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0.9</c:v>
                </c:pt>
                <c:pt idx="3" formatCode="General">
                  <c:v>0.9</c:v>
                </c:pt>
                <c:pt idx="4">
                  <c:v>1</c:v>
                </c:pt>
                <c:pt idx="5">
                  <c:v>1.1000000000000001</c:v>
                </c:pt>
                <c:pt idx="6">
                  <c:v>1.4</c:v>
                </c:pt>
                <c:pt idx="7">
                  <c:v>1.4</c:v>
                </c:pt>
                <c:pt idx="8">
                  <c:v>1.6</c:v>
                </c:pt>
                <c:pt idx="9">
                  <c:v>1.6</c:v>
                </c:pt>
                <c:pt idx="10">
                  <c:v>1.4</c:v>
                </c:pt>
                <c:pt idx="11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A91-4549-B3AD-C7C62503F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Data'!$Q$144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Data'!$P$157:$P$168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'Monthly Stats Data'!$Q$157:$Q$168</c:f>
              <c:numCache>
                <c:formatCode>_(* #,##0_);_(* \(#,##0\);_(* "-"??_);_(@_)</c:formatCode>
                <c:ptCount val="12"/>
                <c:pt idx="0">
                  <c:v>3084</c:v>
                </c:pt>
                <c:pt idx="1">
                  <c:v>3014</c:v>
                </c:pt>
                <c:pt idx="2">
                  <c:v>3374</c:v>
                </c:pt>
                <c:pt idx="3">
                  <c:v>3581</c:v>
                </c:pt>
                <c:pt idx="4">
                  <c:v>3910</c:v>
                </c:pt>
                <c:pt idx="5">
                  <c:v>4061</c:v>
                </c:pt>
                <c:pt idx="6">
                  <c:v>3974</c:v>
                </c:pt>
                <c:pt idx="7">
                  <c:v>4346</c:v>
                </c:pt>
                <c:pt idx="8">
                  <c:v>4435</c:v>
                </c:pt>
                <c:pt idx="9">
                  <c:v>4442</c:v>
                </c:pt>
                <c:pt idx="10">
                  <c:v>3910</c:v>
                </c:pt>
                <c:pt idx="11">
                  <c:v>3210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0B-426D-B7C4-4A498BEF8753}"/>
            </c:ext>
          </c:extLst>
        </c:ser>
        <c:ser>
          <c:idx val="3"/>
          <c:order val="1"/>
          <c:tx>
            <c:strRef>
              <c:f>'Monthly Stats Data'!$T$143:$T$144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Data'!$P$157:$P$168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'Monthly Stats Data'!$T$157:$T$168</c:f>
              <c:numCache>
                <c:formatCode>_(* #,##0_);_(* \(#,##0\);_(* "-"??_);_(@_)</c:formatCode>
                <c:ptCount val="12"/>
                <c:pt idx="0">
                  <c:v>5025</c:v>
                </c:pt>
                <c:pt idx="1">
                  <c:v>5110</c:v>
                </c:pt>
                <c:pt idx="2">
                  <c:v>4800</c:v>
                </c:pt>
                <c:pt idx="3">
                  <c:v>4625</c:v>
                </c:pt>
                <c:pt idx="4">
                  <c:v>4415</c:v>
                </c:pt>
                <c:pt idx="5">
                  <c:v>4325</c:v>
                </c:pt>
                <c:pt idx="6">
                  <c:v>4350</c:v>
                </c:pt>
                <c:pt idx="7">
                  <c:v>4025</c:v>
                </c:pt>
                <c:pt idx="8">
                  <c:v>3905</c:v>
                </c:pt>
                <c:pt idx="9">
                  <c:v>3880</c:v>
                </c:pt>
                <c:pt idx="10">
                  <c:v>4407</c:v>
                </c:pt>
                <c:pt idx="11">
                  <c:v>5100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0B-426D-B7C4-4A498BEF87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4</a:t>
            </a:r>
            <a:r>
              <a:rPr lang="en-US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County Sale Price</a:t>
            </a:r>
            <a:endParaRPr lang="en-US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188636609504889"/>
          <c:y val="0.16243803089282413"/>
          <c:w val="0.83028939638573696"/>
          <c:h val="0.6779127204610474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'4th QTR County Data'!$E$164</c:f>
              <c:strCache>
                <c:ptCount val="1"/>
                <c:pt idx="0">
                  <c:v>Avg Sale Price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'4th QTR County Data'!$B$179:$B$203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'4th QTR County Data'!$E$179:$E$203</c:f>
              <c:numCache>
                <c:formatCode>_("$"* #,##0_);_("$"* \(#,##0\);_("$"* "-"??_);_(@_)</c:formatCode>
                <c:ptCount val="25"/>
                <c:pt idx="0">
                  <c:v>181287.5</c:v>
                </c:pt>
                <c:pt idx="1">
                  <c:v>187931</c:v>
                </c:pt>
                <c:pt idx="2">
                  <c:v>205944.5</c:v>
                </c:pt>
                <c:pt idx="3">
                  <c:v>216532</c:v>
                </c:pt>
                <c:pt idx="4">
                  <c:v>237872.5</c:v>
                </c:pt>
                <c:pt idx="5">
                  <c:v>248510</c:v>
                </c:pt>
                <c:pt idx="6">
                  <c:v>257130.75</c:v>
                </c:pt>
                <c:pt idx="7">
                  <c:v>261279.75</c:v>
                </c:pt>
                <c:pt idx="8">
                  <c:v>246983.25</c:v>
                </c:pt>
                <c:pt idx="9">
                  <c:v>222295.25</c:v>
                </c:pt>
                <c:pt idx="10">
                  <c:v>226301.25</c:v>
                </c:pt>
                <c:pt idx="11">
                  <c:v>214727.25</c:v>
                </c:pt>
                <c:pt idx="12">
                  <c:v>211151.5</c:v>
                </c:pt>
                <c:pt idx="13">
                  <c:v>225668.25</c:v>
                </c:pt>
                <c:pt idx="14">
                  <c:v>230677.25</c:v>
                </c:pt>
                <c:pt idx="15">
                  <c:v>243028.75</c:v>
                </c:pt>
                <c:pt idx="16">
                  <c:v>252629.75</c:v>
                </c:pt>
                <c:pt idx="17">
                  <c:v>266303.5</c:v>
                </c:pt>
                <c:pt idx="18">
                  <c:v>283048</c:v>
                </c:pt>
                <c:pt idx="19">
                  <c:v>304537.25</c:v>
                </c:pt>
                <c:pt idx="20">
                  <c:v>325308.75</c:v>
                </c:pt>
                <c:pt idx="21">
                  <c:v>361966.25</c:v>
                </c:pt>
                <c:pt idx="22">
                  <c:v>394442.5</c:v>
                </c:pt>
                <c:pt idx="23">
                  <c:v>417800.25</c:v>
                </c:pt>
                <c:pt idx="24">
                  <c:v>443604.5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14-452A-AE63-C77351C1F59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-100"/>
        <c:axId val="510562616"/>
        <c:axId val="510563008"/>
      </c:barChart>
      <c:catAx>
        <c:axId val="51056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510563008"/>
        <c:crosses val="autoZero"/>
        <c:auto val="1"/>
        <c:lblAlgn val="ctr"/>
        <c:lblOffset val="100"/>
        <c:noMultiLvlLbl val="0"/>
      </c:catAx>
      <c:valAx>
        <c:axId val="51056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510562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4 County Unit Sales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350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bg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'4th QTR County Data'!$B$179:$B$203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'4th QTR County Data'!$C$179:$C$203</c:f>
              <c:numCache>
                <c:formatCode>_(* #,##0_);_(* \(#,##0\);_(* "-"??_);_(@_)</c:formatCode>
                <c:ptCount val="25"/>
                <c:pt idx="0">
                  <c:v>16311</c:v>
                </c:pt>
                <c:pt idx="1">
                  <c:v>17326</c:v>
                </c:pt>
                <c:pt idx="2">
                  <c:v>18479</c:v>
                </c:pt>
                <c:pt idx="3">
                  <c:v>19359</c:v>
                </c:pt>
                <c:pt idx="4">
                  <c:v>20427</c:v>
                </c:pt>
                <c:pt idx="5">
                  <c:v>21642</c:v>
                </c:pt>
                <c:pt idx="6">
                  <c:v>20071</c:v>
                </c:pt>
                <c:pt idx="7">
                  <c:v>17231</c:v>
                </c:pt>
                <c:pt idx="8">
                  <c:v>14119</c:v>
                </c:pt>
                <c:pt idx="9">
                  <c:v>13853</c:v>
                </c:pt>
                <c:pt idx="10">
                  <c:v>12865</c:v>
                </c:pt>
                <c:pt idx="11">
                  <c:v>13278</c:v>
                </c:pt>
                <c:pt idx="12">
                  <c:v>16579</c:v>
                </c:pt>
                <c:pt idx="13">
                  <c:v>18203</c:v>
                </c:pt>
                <c:pt idx="14">
                  <c:v>17749</c:v>
                </c:pt>
                <c:pt idx="15">
                  <c:v>19611</c:v>
                </c:pt>
                <c:pt idx="16">
                  <c:v>21006</c:v>
                </c:pt>
                <c:pt idx="17">
                  <c:v>21357</c:v>
                </c:pt>
                <c:pt idx="18">
                  <c:v>21061</c:v>
                </c:pt>
                <c:pt idx="19">
                  <c:v>21133</c:v>
                </c:pt>
                <c:pt idx="20">
                  <c:v>22445</c:v>
                </c:pt>
                <c:pt idx="21">
                  <c:v>23827</c:v>
                </c:pt>
                <c:pt idx="22">
                  <c:v>20368</c:v>
                </c:pt>
                <c:pt idx="23">
                  <c:v>16586</c:v>
                </c:pt>
                <c:pt idx="24">
                  <c:v>17058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D5-4899-BB7A-95DEA32E6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5231584"/>
        <c:axId val="1845232000"/>
      </c:lineChart>
      <c:catAx>
        <c:axId val="184523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845232000"/>
        <c:crosses val="autoZero"/>
        <c:auto val="1"/>
        <c:lblAlgn val="ctr"/>
        <c:lblOffset val="100"/>
        <c:noMultiLvlLbl val="0"/>
      </c:catAx>
      <c:valAx>
        <c:axId val="1845232000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84523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7 County Sale Price</a:t>
            </a:r>
            <a:endParaRPr lang="en-US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188636609504889"/>
          <c:y val="0.16243803089282413"/>
          <c:w val="0.81266451266545536"/>
          <c:h val="0.6779127204610474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'4th QTR County Data'!$E$296</c:f>
              <c:strCache>
                <c:ptCount val="1"/>
                <c:pt idx="0">
                  <c:v>Avg Sale Price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'4th QTR County Data'!$B$298:$B$322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'4th QTR County Data'!$E$298:$E$322</c:f>
              <c:numCache>
                <c:formatCode>_("$"* #,##0_);_("$"* \(#,##0\);_("$"* "-"??_);_(@_)</c:formatCode>
                <c:ptCount val="25"/>
                <c:pt idx="0">
                  <c:v>165814.14285714287</c:v>
                </c:pt>
                <c:pt idx="1">
                  <c:v>174522.28571428571</c:v>
                </c:pt>
                <c:pt idx="2">
                  <c:v>188117.71428571429</c:v>
                </c:pt>
                <c:pt idx="3">
                  <c:v>198969.28571428571</c:v>
                </c:pt>
                <c:pt idx="4">
                  <c:v>219760.42857142858</c:v>
                </c:pt>
                <c:pt idx="5">
                  <c:v>234400.85714285713</c:v>
                </c:pt>
                <c:pt idx="6">
                  <c:v>243372.14285714287</c:v>
                </c:pt>
                <c:pt idx="7">
                  <c:v>247233.28571428571</c:v>
                </c:pt>
                <c:pt idx="8">
                  <c:v>233756</c:v>
                </c:pt>
                <c:pt idx="9">
                  <c:v>205254.71428571429</c:v>
                </c:pt>
                <c:pt idx="10">
                  <c:v>208391.28571428571</c:v>
                </c:pt>
                <c:pt idx="11">
                  <c:v>193233.57142857142</c:v>
                </c:pt>
                <c:pt idx="12">
                  <c:v>193409.42857142858</c:v>
                </c:pt>
                <c:pt idx="13">
                  <c:v>201986.42857142858</c:v>
                </c:pt>
                <c:pt idx="14">
                  <c:v>211524.85714285713</c:v>
                </c:pt>
                <c:pt idx="15">
                  <c:v>222549.14285714287</c:v>
                </c:pt>
                <c:pt idx="16">
                  <c:v>232299.71428571429</c:v>
                </c:pt>
                <c:pt idx="17">
                  <c:v>247381.14285714287</c:v>
                </c:pt>
                <c:pt idx="18">
                  <c:v>264087.28571428574</c:v>
                </c:pt>
                <c:pt idx="19">
                  <c:v>281515.14285714284</c:v>
                </c:pt>
                <c:pt idx="20">
                  <c:v>308494</c:v>
                </c:pt>
                <c:pt idx="21">
                  <c:v>343454.57142857142</c:v>
                </c:pt>
                <c:pt idx="22">
                  <c:v>374241.85714285716</c:v>
                </c:pt>
                <c:pt idx="23">
                  <c:v>402264.57142857142</c:v>
                </c:pt>
                <c:pt idx="24">
                  <c:v>427043.85714285716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C4-4BF3-A88A-3A8162291DA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-100"/>
        <c:axId val="510562616"/>
        <c:axId val="510563008"/>
      </c:barChart>
      <c:catAx>
        <c:axId val="51056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510563008"/>
        <c:crosses val="autoZero"/>
        <c:auto val="1"/>
        <c:lblAlgn val="ctr"/>
        <c:lblOffset val="100"/>
        <c:noMultiLvlLbl val="0"/>
      </c:catAx>
      <c:valAx>
        <c:axId val="51056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510562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7 County Unit Sales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350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2"/>
            <c:spPr>
              <a:solidFill>
                <a:schemeClr val="bg1"/>
              </a:solidFill>
              <a:ln w="31750">
                <a:solidFill>
                  <a:schemeClr val="bg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'4th QTR County Data'!$B$298:$B$322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'4th QTR County Data'!$C$298:$C$322</c:f>
              <c:numCache>
                <c:formatCode>_(* #,##0_);_(* \(#,##0\);_(* "-"??_);_(@_)</c:formatCode>
                <c:ptCount val="25"/>
                <c:pt idx="0">
                  <c:v>22015</c:v>
                </c:pt>
                <c:pt idx="1">
                  <c:v>23214</c:v>
                </c:pt>
                <c:pt idx="2">
                  <c:v>25057</c:v>
                </c:pt>
                <c:pt idx="3">
                  <c:v>26172</c:v>
                </c:pt>
                <c:pt idx="4">
                  <c:v>27924</c:v>
                </c:pt>
                <c:pt idx="5">
                  <c:v>29254</c:v>
                </c:pt>
                <c:pt idx="6">
                  <c:v>26684</c:v>
                </c:pt>
                <c:pt idx="7">
                  <c:v>23016</c:v>
                </c:pt>
                <c:pt idx="8">
                  <c:v>18558</c:v>
                </c:pt>
                <c:pt idx="9">
                  <c:v>18048</c:v>
                </c:pt>
                <c:pt idx="10">
                  <c:v>17031</c:v>
                </c:pt>
                <c:pt idx="11">
                  <c:v>17714</c:v>
                </c:pt>
                <c:pt idx="12">
                  <c:v>21741</c:v>
                </c:pt>
                <c:pt idx="13">
                  <c:v>24127</c:v>
                </c:pt>
                <c:pt idx="14">
                  <c:v>23461</c:v>
                </c:pt>
                <c:pt idx="15">
                  <c:v>26210</c:v>
                </c:pt>
                <c:pt idx="16">
                  <c:v>28084</c:v>
                </c:pt>
                <c:pt idx="17">
                  <c:v>28592</c:v>
                </c:pt>
                <c:pt idx="18">
                  <c:v>28177</c:v>
                </c:pt>
                <c:pt idx="19">
                  <c:v>28230</c:v>
                </c:pt>
                <c:pt idx="20">
                  <c:v>30083</c:v>
                </c:pt>
                <c:pt idx="21">
                  <c:v>31852</c:v>
                </c:pt>
                <c:pt idx="22">
                  <c:v>27109</c:v>
                </c:pt>
                <c:pt idx="23">
                  <c:v>21899</c:v>
                </c:pt>
                <c:pt idx="24">
                  <c:v>22526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EC-48D0-BEAA-E97533D94C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0134960"/>
        <c:axId val="1900140784"/>
      </c:lineChart>
      <c:catAx>
        <c:axId val="190013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900140784"/>
        <c:crosses val="autoZero"/>
        <c:auto val="1"/>
        <c:lblAlgn val="ctr"/>
        <c:lblOffset val="100"/>
        <c:noMultiLvlLbl val="0"/>
      </c:catAx>
      <c:valAx>
        <c:axId val="1900140784"/>
        <c:scaling>
          <c:orientation val="minMax"/>
          <c:max val="35000"/>
          <c:min val="1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90013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6</cp:revision>
  <cp:lastPrinted>2025-01-15T16:12:00Z</cp:lastPrinted>
  <dcterms:created xsi:type="dcterms:W3CDTF">2025-01-14T17:52:00Z</dcterms:created>
  <dcterms:modified xsi:type="dcterms:W3CDTF">2025-01-15T17:28:00Z</dcterms:modified>
</cp:coreProperties>
</file>